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sz w:val="48"/>
          <w:szCs w:val="48"/>
        </w:rPr>
      </w:pPr>
    </w:p>
    <w:p>
      <w:pPr>
        <w:pStyle w:val="2"/>
        <w:rPr>
          <w:color w:val="auto"/>
        </w:rPr>
      </w:pPr>
    </w:p>
    <w:p>
      <w:pPr>
        <w:pStyle w:val="18"/>
        <w:adjustRightInd w:val="0"/>
        <w:snapToGrid w:val="0"/>
        <w:spacing w:after="0" w:line="580" w:lineRule="exact"/>
        <w:ind w:left="0"/>
        <w:jc w:val="center"/>
        <w:rPr>
          <w:rFonts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rPr>
        <w:t>深圳阳光平台中心静脉导管（PICC）</w:t>
      </w:r>
    </w:p>
    <w:p>
      <w:pPr>
        <w:pStyle w:val="18"/>
        <w:adjustRightInd w:val="0"/>
        <w:snapToGrid w:val="0"/>
        <w:spacing w:after="0" w:line="580" w:lineRule="exact"/>
        <w:ind w:left="0"/>
        <w:jc w:val="center"/>
        <w:rPr>
          <w:rFonts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rPr>
        <w:t>价格谈判采购文件</w:t>
      </w:r>
    </w:p>
    <w:p>
      <w:pPr>
        <w:widowControl/>
        <w:tabs>
          <w:tab w:val="left" w:pos="1843"/>
        </w:tabs>
        <w:spacing w:line="580" w:lineRule="exact"/>
        <w:ind w:left="0"/>
        <w:jc w:val="center"/>
        <w:rPr>
          <w:rFonts w:ascii="微软雅黑" w:hAnsi="微软雅黑" w:eastAsia="微软雅黑" w:cs="微软雅黑"/>
          <w:sz w:val="27"/>
          <w:szCs w:val="27"/>
        </w:rPr>
      </w:pPr>
    </w:p>
    <w:p>
      <w:pPr>
        <w:pStyle w:val="13"/>
        <w:spacing w:line="580" w:lineRule="exact"/>
        <w:rPr>
          <w:rFonts w:ascii="微软雅黑" w:hAnsi="微软雅黑" w:eastAsia="微软雅黑" w:cs="微软雅黑"/>
          <w:sz w:val="27"/>
          <w:szCs w:val="27"/>
        </w:rPr>
      </w:pPr>
    </w:p>
    <w:p>
      <w:pPr>
        <w:pStyle w:val="6"/>
        <w:spacing w:line="580" w:lineRule="exact"/>
      </w:pPr>
    </w:p>
    <w:p>
      <w:pPr>
        <w:spacing w:line="580" w:lineRule="exact"/>
        <w:ind w:left="0"/>
        <w:jc w:val="center"/>
        <w:rPr>
          <w:rFonts w:hint="default" w:ascii="仿宋_GB2312" w:hAnsi="仿宋_GB2312" w:eastAsia="仿宋_GB2312" w:cs="仿宋_GB2312"/>
          <w:kern w:val="2"/>
          <w:sz w:val="32"/>
          <w:szCs w:val="32"/>
          <w:highlight w:val="none"/>
          <w:lang w:val="en-US" w:eastAsia="zh-CN"/>
        </w:rPr>
      </w:pPr>
      <w:r>
        <w:rPr>
          <w:rFonts w:hint="eastAsia" w:ascii="仿宋_GB2312" w:hAnsi="仿宋_GB2312" w:eastAsia="仿宋_GB2312" w:cs="仿宋_GB2312"/>
          <w:kern w:val="2"/>
          <w:sz w:val="32"/>
          <w:szCs w:val="32"/>
        </w:rPr>
        <w:t>项目编号：SZJGTP20</w:t>
      </w:r>
      <w:r>
        <w:rPr>
          <w:rFonts w:hint="eastAsia" w:ascii="仿宋_GB2312" w:hAnsi="仿宋_GB2312" w:eastAsia="仿宋_GB2312" w:cs="仿宋_GB2312"/>
          <w:kern w:val="2"/>
          <w:sz w:val="32"/>
          <w:szCs w:val="32"/>
          <w:highlight w:val="none"/>
        </w:rPr>
        <w:t>22</w:t>
      </w:r>
      <w:r>
        <w:rPr>
          <w:rFonts w:hint="eastAsia" w:ascii="仿宋_GB2312" w:hAnsi="仿宋_GB2312" w:eastAsia="仿宋_GB2312" w:cs="仿宋_GB2312"/>
          <w:kern w:val="2"/>
          <w:sz w:val="32"/>
          <w:szCs w:val="32"/>
          <w:highlight w:val="none"/>
          <w:lang w:val="en-US" w:eastAsia="zh-CN"/>
        </w:rPr>
        <w:t>0003</w:t>
      </w:r>
    </w:p>
    <w:p>
      <w:pPr>
        <w:spacing w:line="580" w:lineRule="exact"/>
        <w:rPr>
          <w:rFonts w:ascii="仿宋_GB2312" w:hAnsi="仿宋_GB2312" w:eastAsia="仿宋_GB2312" w:cs="仿宋_GB2312"/>
          <w:bCs/>
          <w:sz w:val="36"/>
          <w:szCs w:val="36"/>
        </w:rPr>
      </w:pPr>
      <w:r>
        <w:rPr>
          <w:rFonts w:hint="eastAsia" w:ascii="仿宋_GB2312" w:hAnsi="仿宋_GB2312" w:eastAsia="仿宋_GB2312" w:cs="仿宋_GB2312"/>
          <w:b/>
          <w:sz w:val="36"/>
          <w:szCs w:val="36"/>
        </w:rPr>
        <w:t xml:space="preserve">                                        </w:t>
      </w:r>
      <w:r>
        <w:rPr>
          <w:rFonts w:hint="eastAsia" w:ascii="仿宋_GB2312" w:hAnsi="仿宋_GB2312" w:eastAsia="仿宋_GB2312" w:cs="仿宋_GB2312"/>
          <w:bCs/>
          <w:sz w:val="36"/>
          <w:szCs w:val="36"/>
        </w:rPr>
        <w:t xml:space="preserve">                 </w:t>
      </w:r>
    </w:p>
    <w:p>
      <w:pPr>
        <w:spacing w:line="580" w:lineRule="exact"/>
        <w:ind w:left="0" w:right="640"/>
        <w:rPr>
          <w:rFonts w:ascii="仿宋_GB2312" w:hAnsi="仿宋_GB2312" w:eastAsia="仿宋_GB2312" w:cs="仿宋_GB2312"/>
          <w:sz w:val="32"/>
          <w:szCs w:val="32"/>
        </w:rPr>
      </w:pPr>
    </w:p>
    <w:p>
      <w:pPr>
        <w:pStyle w:val="13"/>
        <w:spacing w:line="580" w:lineRule="exact"/>
        <w:rPr>
          <w:rFonts w:ascii="仿宋_GB2312" w:hAnsi="仿宋_GB2312" w:eastAsia="仿宋_GB2312" w:cs="仿宋_GB2312"/>
          <w:sz w:val="32"/>
          <w:szCs w:val="32"/>
        </w:rPr>
      </w:pPr>
    </w:p>
    <w:p>
      <w:pPr>
        <w:pStyle w:val="6"/>
        <w:spacing w:line="580" w:lineRule="exact"/>
        <w:rPr>
          <w:rFonts w:ascii="仿宋_GB2312" w:hAnsi="仿宋_GB2312" w:eastAsia="仿宋_GB2312" w:cs="仿宋_GB2312"/>
        </w:rPr>
      </w:pPr>
    </w:p>
    <w:p>
      <w:pPr>
        <w:pStyle w:val="13"/>
        <w:spacing w:line="580" w:lineRule="exact"/>
        <w:rPr>
          <w:rFonts w:ascii="仿宋_GB2312" w:hAnsi="仿宋_GB2312" w:eastAsia="仿宋_GB2312" w:cs="仿宋_GB2312"/>
          <w:sz w:val="32"/>
          <w:szCs w:val="32"/>
        </w:rPr>
      </w:pPr>
    </w:p>
    <w:p>
      <w:pPr>
        <w:pStyle w:val="6"/>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rPr>
      </w:pPr>
    </w:p>
    <w:p>
      <w:pPr>
        <w:spacing w:line="580" w:lineRule="exact"/>
        <w:ind w:left="0"/>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深圳公共资源交易中心</w:t>
      </w:r>
    </w:p>
    <w:p>
      <w:pPr>
        <w:spacing w:line="580" w:lineRule="exact"/>
        <w:ind w:left="0"/>
        <w:jc w:val="center"/>
        <w:rPr>
          <w:rFonts w:ascii="仿宋_GB2312" w:hAnsi="仿宋_GB2312" w:eastAsia="仿宋_GB2312" w:cs="仿宋_GB2312"/>
          <w:b/>
          <w:bCs/>
          <w:sz w:val="32"/>
          <w:szCs w:val="32"/>
        </w:rPr>
      </w:pPr>
      <w:r>
        <w:rPr>
          <w:rFonts w:hint="eastAsia" w:ascii="仿宋_GB2312" w:hAnsi="仿宋_GB2312" w:eastAsia="仿宋_GB2312" w:cs="仿宋_GB2312"/>
          <w:kern w:val="2"/>
          <w:sz w:val="32"/>
          <w:szCs w:val="32"/>
        </w:rPr>
        <w:t xml:space="preserve"> 2022年</w:t>
      </w:r>
      <w:r>
        <w:rPr>
          <w:rFonts w:hint="eastAsia" w:ascii="仿宋_GB2312" w:hAnsi="仿宋_GB2312" w:eastAsia="仿宋_GB2312" w:cs="仿宋_GB2312"/>
          <w:kern w:val="2"/>
          <w:sz w:val="32"/>
          <w:szCs w:val="32"/>
          <w:lang w:val="en-US" w:eastAsia="zh-CN"/>
        </w:rPr>
        <w:t>9</w:t>
      </w:r>
      <w:bookmarkStart w:id="125" w:name="_GoBack"/>
      <w:bookmarkEnd w:id="125"/>
      <w:r>
        <w:rPr>
          <w:rFonts w:hint="eastAsia" w:ascii="仿宋_GB2312" w:hAnsi="仿宋_GB2312" w:eastAsia="仿宋_GB2312" w:cs="仿宋_GB2312"/>
          <w:kern w:val="2"/>
          <w:sz w:val="32"/>
          <w:szCs w:val="32"/>
        </w:rPr>
        <w:t>月</w:t>
      </w:r>
      <w:r>
        <w:rPr>
          <w:rFonts w:hint="eastAsia" w:ascii="仿宋_GB2312" w:hAnsi="仿宋_GB2312" w:eastAsia="仿宋_GB2312" w:cs="仿宋_GB2312"/>
          <w:b/>
          <w:bCs/>
          <w:sz w:val="32"/>
          <w:szCs w:val="32"/>
        </w:rPr>
        <w:tab/>
      </w:r>
    </w:p>
    <w:p>
      <w:pPr>
        <w:pStyle w:val="13"/>
        <w:spacing w:line="580" w:lineRule="exact"/>
        <w:rPr>
          <w:rFonts w:asciiTheme="majorEastAsia" w:hAnsiTheme="majorEastAsia" w:eastAsiaTheme="majorEastAsia" w:cstheme="majorEastAsia"/>
          <w:b/>
          <w:bCs/>
          <w:sz w:val="32"/>
          <w:szCs w:val="32"/>
        </w:rPr>
      </w:pPr>
    </w:p>
    <w:p>
      <w:pPr>
        <w:pStyle w:val="6"/>
        <w:spacing w:line="580" w:lineRule="exact"/>
      </w:pPr>
    </w:p>
    <w:p>
      <w:pPr>
        <w:spacing w:line="580" w:lineRule="exact"/>
        <w:jc w:val="center"/>
        <w:rPr>
          <w:rFonts w:ascii="黑体" w:hAnsi="黑体" w:eastAsia="黑体"/>
          <w:kern w:val="2"/>
          <w:sz w:val="30"/>
          <w:szCs w:val="30"/>
        </w:rPr>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4" w:left="1587" w:header="850" w:footer="992" w:gutter="0"/>
          <w:pgNumType w:start="1"/>
          <w:cols w:space="720" w:num="1"/>
          <w:docGrid w:type="lines" w:linePitch="408" w:charSpace="0"/>
        </w:sectPr>
      </w:pPr>
      <w:bookmarkStart w:id="0" w:name="_Toc30474"/>
    </w:p>
    <w:bookmarkEnd w:id="0"/>
    <w:p>
      <w:pPr>
        <w:pStyle w:val="15"/>
        <w:tabs>
          <w:tab w:val="right" w:leader="dot" w:pos="8296"/>
        </w:tabs>
        <w:spacing w:line="560" w:lineRule="exact"/>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目   录</w:t>
      </w:r>
    </w:p>
    <w:p>
      <w:pPr>
        <w:pStyle w:val="15"/>
        <w:tabs>
          <w:tab w:val="right" w:leader="dot" w:pos="8844"/>
        </w:tabs>
        <w:spacing w:line="40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 \o "1-3" \h \u </w:instrText>
      </w:r>
      <w:r>
        <w:rPr>
          <w:rFonts w:hint="eastAsia" w:ascii="仿宋_GB2312" w:hAnsi="仿宋_GB2312" w:eastAsia="仿宋_GB2312" w:cs="仿宋_GB2312"/>
          <w:sz w:val="32"/>
          <w:szCs w:val="32"/>
        </w:rPr>
        <w:fldChar w:fldCharType="separate"/>
      </w:r>
      <w:r>
        <w:fldChar w:fldCharType="begin"/>
      </w:r>
      <w:r>
        <w:instrText xml:space="preserve"> HYPERLINK \l "_Toc22397" </w:instrText>
      </w:r>
      <w:r>
        <w:fldChar w:fldCharType="separate"/>
      </w:r>
      <w:r>
        <w:rPr>
          <w:rFonts w:hint="eastAsia" w:ascii="仿宋_GB2312" w:hAnsi="仿宋_GB2312" w:eastAsia="仿宋_GB2312" w:cs="仿宋_GB2312"/>
          <w:kern w:val="2"/>
          <w:sz w:val="32"/>
          <w:szCs w:val="32"/>
        </w:rPr>
        <w:t>第一部分 谈判公告</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_Toc22397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7"/>
        <w:tabs>
          <w:tab w:val="right" w:leader="dot" w:pos="8844"/>
        </w:tabs>
        <w:spacing w:line="400" w:lineRule="exact"/>
        <w:jc w:val="both"/>
        <w:rPr>
          <w:rFonts w:ascii="仿宋_GB2312" w:hAnsi="仿宋_GB2312" w:eastAsia="仿宋_GB2312" w:cs="仿宋_GB2312"/>
          <w:sz w:val="32"/>
          <w:szCs w:val="32"/>
        </w:rPr>
      </w:pPr>
      <w:r>
        <w:fldChar w:fldCharType="begin"/>
      </w:r>
      <w:r>
        <w:instrText xml:space="preserve"> HYPERLINK \l "_Toc11891" </w:instrText>
      </w:r>
      <w:r>
        <w:fldChar w:fldCharType="separate"/>
      </w:r>
      <w:r>
        <w:rPr>
          <w:rFonts w:hint="eastAsia" w:ascii="仿宋_GB2312" w:hAnsi="仿宋_GB2312" w:eastAsia="仿宋_GB2312" w:cs="仿宋_GB2312"/>
          <w:kern w:val="2"/>
          <w:sz w:val="32"/>
          <w:szCs w:val="32"/>
        </w:rPr>
        <w:t>一、采购主体</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_Toc11891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7"/>
        <w:tabs>
          <w:tab w:val="right" w:leader="dot" w:pos="8844"/>
        </w:tabs>
        <w:spacing w:line="400" w:lineRule="exact"/>
        <w:jc w:val="both"/>
        <w:rPr>
          <w:rFonts w:ascii="仿宋_GB2312" w:hAnsi="仿宋_GB2312" w:eastAsia="仿宋_GB2312" w:cs="仿宋_GB2312"/>
          <w:sz w:val="32"/>
          <w:szCs w:val="32"/>
        </w:rPr>
      </w:pPr>
      <w:r>
        <w:fldChar w:fldCharType="begin"/>
      </w:r>
      <w:r>
        <w:instrText xml:space="preserve"> HYPERLINK \l "_Toc20660" </w:instrText>
      </w:r>
      <w:r>
        <w:fldChar w:fldCharType="separate"/>
      </w:r>
      <w:r>
        <w:rPr>
          <w:rFonts w:hint="eastAsia" w:ascii="仿宋_GB2312" w:hAnsi="仿宋_GB2312" w:eastAsia="仿宋_GB2312" w:cs="仿宋_GB2312"/>
          <w:kern w:val="2"/>
          <w:sz w:val="32"/>
          <w:szCs w:val="32"/>
        </w:rPr>
        <w:t>二、谈判产品</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_Toc20660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7"/>
        <w:tabs>
          <w:tab w:val="right" w:leader="dot" w:pos="8844"/>
        </w:tabs>
        <w:spacing w:line="400" w:lineRule="exact"/>
        <w:jc w:val="both"/>
        <w:rPr>
          <w:rFonts w:ascii="仿宋_GB2312" w:hAnsi="仿宋_GB2312" w:eastAsia="仿宋_GB2312" w:cs="仿宋_GB2312"/>
          <w:sz w:val="32"/>
          <w:szCs w:val="32"/>
        </w:rPr>
      </w:pPr>
      <w:r>
        <w:fldChar w:fldCharType="begin"/>
      </w:r>
      <w:r>
        <w:instrText xml:space="preserve"> HYPERLINK \l "_Toc28593" </w:instrText>
      </w:r>
      <w:r>
        <w:fldChar w:fldCharType="separate"/>
      </w:r>
      <w:r>
        <w:rPr>
          <w:rFonts w:hint="eastAsia" w:ascii="仿宋_GB2312" w:hAnsi="仿宋_GB2312" w:eastAsia="仿宋_GB2312" w:cs="仿宋_GB2312"/>
          <w:kern w:val="2"/>
          <w:sz w:val="32"/>
          <w:szCs w:val="32"/>
        </w:rPr>
        <w:t>三、谈判结果执行周期</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_Toc28593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7"/>
        <w:tabs>
          <w:tab w:val="right" w:leader="dot" w:pos="8844"/>
        </w:tabs>
        <w:spacing w:line="400" w:lineRule="exact"/>
        <w:jc w:val="both"/>
        <w:rPr>
          <w:rFonts w:ascii="仿宋_GB2312" w:hAnsi="仿宋_GB2312" w:eastAsia="仿宋_GB2312" w:cs="仿宋_GB2312"/>
          <w:sz w:val="32"/>
          <w:szCs w:val="32"/>
        </w:rPr>
      </w:pPr>
      <w:r>
        <w:fldChar w:fldCharType="begin"/>
      </w:r>
      <w:r>
        <w:instrText xml:space="preserve"> HYPERLINK \l "_Toc20456" </w:instrText>
      </w:r>
      <w:r>
        <w:fldChar w:fldCharType="separate"/>
      </w:r>
      <w:r>
        <w:rPr>
          <w:rFonts w:hint="eastAsia" w:ascii="仿宋_GB2312" w:hAnsi="仿宋_GB2312" w:eastAsia="仿宋_GB2312" w:cs="仿宋_GB2312"/>
          <w:kern w:val="2"/>
          <w:sz w:val="32"/>
          <w:szCs w:val="32"/>
        </w:rPr>
        <w:t>四、</w:t>
      </w:r>
      <w:r>
        <w:rPr>
          <w:rFonts w:hint="eastAsia" w:ascii="仿宋_GB2312" w:hAnsi="仿宋_GB2312" w:eastAsia="仿宋_GB2312" w:cs="仿宋_GB2312"/>
          <w:sz w:val="32"/>
          <w:szCs w:val="32"/>
          <w:shd w:val="clear" w:color="auto" w:fill="FFFFFF"/>
        </w:rPr>
        <w:t>申报资格要求</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_Toc20456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7"/>
        <w:tabs>
          <w:tab w:val="right" w:leader="dot" w:pos="8844"/>
        </w:tabs>
        <w:spacing w:line="400" w:lineRule="exact"/>
        <w:jc w:val="both"/>
        <w:rPr>
          <w:rFonts w:ascii="仿宋_GB2312" w:hAnsi="仿宋_GB2312" w:eastAsia="仿宋_GB2312" w:cs="仿宋_GB2312"/>
          <w:sz w:val="32"/>
          <w:szCs w:val="32"/>
        </w:rPr>
      </w:pPr>
      <w:r>
        <w:fldChar w:fldCharType="begin"/>
      </w:r>
      <w:r>
        <w:instrText xml:space="preserve"> HYPERLINK \l "_Toc19562" </w:instrText>
      </w:r>
      <w:r>
        <w:fldChar w:fldCharType="separate"/>
      </w:r>
      <w:r>
        <w:rPr>
          <w:rFonts w:hint="eastAsia" w:ascii="仿宋_GB2312" w:hAnsi="仿宋_GB2312" w:eastAsia="仿宋_GB2312" w:cs="仿宋_GB2312"/>
          <w:kern w:val="2"/>
          <w:sz w:val="32"/>
          <w:szCs w:val="32"/>
        </w:rPr>
        <w:t>五、采购文件获取方式</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_Toc19562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7"/>
        <w:tabs>
          <w:tab w:val="right" w:leader="dot" w:pos="8844"/>
        </w:tabs>
        <w:spacing w:line="400" w:lineRule="exact"/>
        <w:jc w:val="both"/>
        <w:rPr>
          <w:rFonts w:ascii="仿宋_GB2312" w:hAnsi="仿宋_GB2312" w:eastAsia="仿宋_GB2312" w:cs="仿宋_GB2312"/>
          <w:sz w:val="32"/>
          <w:szCs w:val="32"/>
        </w:rPr>
      </w:pPr>
      <w:r>
        <w:fldChar w:fldCharType="begin"/>
      </w:r>
      <w:r>
        <w:instrText xml:space="preserve"> HYPERLINK \l "_Toc16734" </w:instrText>
      </w:r>
      <w:r>
        <w:fldChar w:fldCharType="separate"/>
      </w:r>
      <w:r>
        <w:rPr>
          <w:rFonts w:hint="eastAsia" w:ascii="仿宋_GB2312" w:hAnsi="仿宋_GB2312" w:eastAsia="仿宋_GB2312" w:cs="仿宋_GB2312"/>
          <w:kern w:val="2"/>
          <w:sz w:val="32"/>
          <w:szCs w:val="32"/>
        </w:rPr>
        <w:t>六、报名方式</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_Toc16734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7"/>
        <w:tabs>
          <w:tab w:val="right" w:leader="dot" w:pos="8844"/>
        </w:tabs>
        <w:spacing w:line="400" w:lineRule="exact"/>
        <w:jc w:val="both"/>
        <w:rPr>
          <w:rFonts w:ascii="仿宋_GB2312" w:hAnsi="仿宋_GB2312" w:eastAsia="仿宋_GB2312" w:cs="仿宋_GB2312"/>
          <w:sz w:val="32"/>
          <w:szCs w:val="32"/>
        </w:rPr>
      </w:pPr>
      <w:r>
        <w:fldChar w:fldCharType="begin"/>
      </w:r>
      <w:r>
        <w:instrText xml:space="preserve"> HYPERLINK \l "_Toc7497" </w:instrText>
      </w:r>
      <w:r>
        <w:fldChar w:fldCharType="separate"/>
      </w:r>
      <w:r>
        <w:rPr>
          <w:rFonts w:hint="eastAsia" w:ascii="仿宋_GB2312" w:hAnsi="仿宋_GB2312" w:eastAsia="仿宋_GB2312" w:cs="仿宋_GB2312"/>
          <w:kern w:val="2"/>
          <w:sz w:val="32"/>
          <w:szCs w:val="32"/>
        </w:rPr>
        <w:t>七、谈判方式和时间</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_Toc7497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7"/>
        <w:tabs>
          <w:tab w:val="right" w:leader="dot" w:pos="8844"/>
        </w:tabs>
        <w:spacing w:line="400" w:lineRule="exact"/>
        <w:jc w:val="both"/>
        <w:rPr>
          <w:rFonts w:ascii="仿宋_GB2312" w:hAnsi="仿宋_GB2312" w:eastAsia="仿宋_GB2312" w:cs="仿宋_GB2312"/>
          <w:sz w:val="32"/>
          <w:szCs w:val="32"/>
        </w:rPr>
      </w:pPr>
      <w:r>
        <w:fldChar w:fldCharType="begin"/>
      </w:r>
      <w:r>
        <w:instrText xml:space="preserve"> HYPERLINK \l "_Toc10918" </w:instrText>
      </w:r>
      <w:r>
        <w:fldChar w:fldCharType="separate"/>
      </w:r>
      <w:r>
        <w:rPr>
          <w:rFonts w:hint="eastAsia" w:ascii="仿宋_GB2312" w:hAnsi="仿宋_GB2312" w:eastAsia="仿宋_GB2312" w:cs="仿宋_GB2312"/>
          <w:kern w:val="2"/>
          <w:sz w:val="32"/>
          <w:szCs w:val="32"/>
        </w:rPr>
        <w:t>八、信息公开方式</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_Toc10918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7"/>
        <w:tabs>
          <w:tab w:val="right" w:leader="dot" w:pos="8844"/>
        </w:tabs>
        <w:spacing w:line="400" w:lineRule="exact"/>
        <w:jc w:val="both"/>
        <w:rPr>
          <w:rFonts w:ascii="仿宋_GB2312" w:hAnsi="仿宋_GB2312" w:eastAsia="仿宋_GB2312" w:cs="仿宋_GB2312"/>
          <w:sz w:val="32"/>
          <w:szCs w:val="32"/>
        </w:rPr>
      </w:pPr>
      <w:r>
        <w:fldChar w:fldCharType="begin"/>
      </w:r>
      <w:r>
        <w:instrText xml:space="preserve"> HYPERLINK \l "_Toc27362" </w:instrText>
      </w:r>
      <w:r>
        <w:fldChar w:fldCharType="separate"/>
      </w:r>
      <w:r>
        <w:rPr>
          <w:rFonts w:hint="eastAsia" w:ascii="仿宋_GB2312" w:hAnsi="仿宋_GB2312" w:eastAsia="仿宋_GB2312" w:cs="仿宋_GB2312"/>
          <w:kern w:val="2"/>
          <w:sz w:val="32"/>
          <w:szCs w:val="32"/>
        </w:rPr>
        <w:t>九、联系方式</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_Toc27362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7"/>
        <w:tabs>
          <w:tab w:val="right" w:leader="dot" w:pos="8844"/>
        </w:tabs>
        <w:spacing w:line="400" w:lineRule="exact"/>
        <w:jc w:val="both"/>
        <w:rPr>
          <w:rFonts w:ascii="仿宋_GB2312" w:hAnsi="仿宋_GB2312" w:eastAsia="仿宋_GB2312" w:cs="仿宋_GB2312"/>
          <w:sz w:val="32"/>
          <w:szCs w:val="32"/>
        </w:rPr>
      </w:pPr>
      <w:r>
        <w:fldChar w:fldCharType="begin"/>
      </w:r>
      <w:r>
        <w:instrText xml:space="preserve"> HYPERLINK \l "_Toc20005" </w:instrText>
      </w:r>
      <w:r>
        <w:fldChar w:fldCharType="separate"/>
      </w:r>
      <w:r>
        <w:rPr>
          <w:rFonts w:hint="eastAsia" w:ascii="仿宋_GB2312" w:hAnsi="仿宋_GB2312" w:eastAsia="仿宋_GB2312" w:cs="仿宋_GB2312"/>
          <w:kern w:val="2"/>
          <w:sz w:val="32"/>
          <w:szCs w:val="32"/>
        </w:rPr>
        <w:t>十、其他</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_Toc20005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5"/>
        <w:tabs>
          <w:tab w:val="right" w:leader="dot" w:pos="8844"/>
        </w:tabs>
        <w:spacing w:line="400" w:lineRule="exact"/>
        <w:jc w:val="both"/>
        <w:rPr>
          <w:rFonts w:ascii="仿宋_GB2312" w:hAnsi="仿宋_GB2312" w:eastAsia="仿宋_GB2312" w:cs="仿宋_GB2312"/>
          <w:sz w:val="32"/>
          <w:szCs w:val="32"/>
        </w:rPr>
      </w:pPr>
      <w:r>
        <w:fldChar w:fldCharType="begin"/>
      </w:r>
      <w:r>
        <w:instrText xml:space="preserve"> HYPERLINK \l "_Toc24996" </w:instrText>
      </w:r>
      <w:r>
        <w:fldChar w:fldCharType="separate"/>
      </w:r>
      <w:r>
        <w:rPr>
          <w:rFonts w:hint="eastAsia" w:ascii="仿宋_GB2312" w:hAnsi="仿宋_GB2312" w:eastAsia="仿宋_GB2312" w:cs="仿宋_GB2312"/>
          <w:kern w:val="2"/>
          <w:sz w:val="32"/>
          <w:szCs w:val="32"/>
        </w:rPr>
        <w:t>第二部分 谈判企业须知</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_Toc24996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7"/>
        <w:tabs>
          <w:tab w:val="right" w:leader="dot" w:pos="8844"/>
        </w:tabs>
        <w:spacing w:line="400" w:lineRule="exact"/>
        <w:jc w:val="both"/>
        <w:rPr>
          <w:rFonts w:ascii="仿宋_GB2312" w:hAnsi="仿宋_GB2312" w:eastAsia="仿宋_GB2312" w:cs="仿宋_GB2312"/>
          <w:sz w:val="32"/>
          <w:szCs w:val="32"/>
        </w:rPr>
      </w:pPr>
      <w:r>
        <w:fldChar w:fldCharType="begin"/>
      </w:r>
      <w:r>
        <w:instrText xml:space="preserve"> HYPERLINK \l "_Toc13252" </w:instrText>
      </w:r>
      <w:r>
        <w:fldChar w:fldCharType="separate"/>
      </w:r>
      <w:r>
        <w:rPr>
          <w:rFonts w:hint="eastAsia" w:ascii="仿宋_GB2312" w:hAnsi="仿宋_GB2312" w:eastAsia="仿宋_GB2312" w:cs="仿宋_GB2312"/>
          <w:kern w:val="2"/>
          <w:sz w:val="32"/>
          <w:szCs w:val="32"/>
        </w:rPr>
        <w:t>一、竞争单元分类、谈判基准价及谈判目标价</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_Toc13252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7"/>
        <w:tabs>
          <w:tab w:val="right" w:leader="dot" w:pos="8844"/>
        </w:tabs>
        <w:spacing w:line="400" w:lineRule="exact"/>
        <w:jc w:val="both"/>
        <w:rPr>
          <w:rFonts w:ascii="仿宋_GB2312" w:hAnsi="仿宋_GB2312" w:eastAsia="仿宋_GB2312" w:cs="仿宋_GB2312"/>
          <w:sz w:val="32"/>
          <w:szCs w:val="32"/>
        </w:rPr>
      </w:pPr>
      <w:r>
        <w:fldChar w:fldCharType="begin"/>
      </w:r>
      <w:r>
        <w:instrText xml:space="preserve"> HYPERLINK \l "_Toc2620" </w:instrText>
      </w:r>
      <w:r>
        <w:fldChar w:fldCharType="separate"/>
      </w:r>
      <w:r>
        <w:rPr>
          <w:rFonts w:hint="eastAsia" w:ascii="仿宋_GB2312" w:hAnsi="仿宋_GB2312" w:eastAsia="仿宋_GB2312" w:cs="仿宋_GB2312"/>
          <w:kern w:val="2"/>
          <w:sz w:val="32"/>
          <w:szCs w:val="32"/>
        </w:rPr>
        <w:t>二、报价规则</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_Toc2620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7"/>
        <w:tabs>
          <w:tab w:val="right" w:leader="dot" w:pos="8844"/>
        </w:tabs>
        <w:spacing w:line="400" w:lineRule="exact"/>
        <w:jc w:val="both"/>
        <w:rPr>
          <w:rFonts w:ascii="仿宋_GB2312" w:hAnsi="仿宋_GB2312" w:eastAsia="仿宋_GB2312" w:cs="仿宋_GB2312"/>
          <w:sz w:val="32"/>
          <w:szCs w:val="32"/>
        </w:rPr>
      </w:pPr>
      <w:r>
        <w:fldChar w:fldCharType="begin"/>
      </w:r>
      <w:r>
        <w:instrText xml:space="preserve"> HYPERLINK \l "_Toc2105" </w:instrText>
      </w:r>
      <w:r>
        <w:fldChar w:fldCharType="separate"/>
      </w:r>
      <w:r>
        <w:rPr>
          <w:rFonts w:hint="eastAsia" w:ascii="仿宋_GB2312" w:hAnsi="仿宋_GB2312" w:eastAsia="仿宋_GB2312" w:cs="仿宋_GB2312"/>
          <w:kern w:val="2"/>
          <w:sz w:val="32"/>
          <w:szCs w:val="32"/>
        </w:rPr>
        <w:t>三、报价信息解密</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_Toc2105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7"/>
        <w:tabs>
          <w:tab w:val="right" w:leader="dot" w:pos="8844"/>
        </w:tabs>
        <w:spacing w:line="400" w:lineRule="exact"/>
        <w:jc w:val="both"/>
        <w:rPr>
          <w:rFonts w:ascii="仿宋_GB2312" w:hAnsi="仿宋_GB2312" w:eastAsia="仿宋_GB2312" w:cs="仿宋_GB2312"/>
          <w:sz w:val="32"/>
          <w:szCs w:val="32"/>
        </w:rPr>
      </w:pPr>
      <w:r>
        <w:fldChar w:fldCharType="begin"/>
      </w:r>
      <w:r>
        <w:instrText xml:space="preserve"> HYPERLINK \l "_Toc4676" </w:instrText>
      </w:r>
      <w:r>
        <w:fldChar w:fldCharType="separate"/>
      </w:r>
      <w:r>
        <w:rPr>
          <w:rFonts w:hint="eastAsia" w:ascii="仿宋_GB2312" w:hAnsi="仿宋_GB2312" w:eastAsia="仿宋_GB2312" w:cs="仿宋_GB2312"/>
          <w:kern w:val="2"/>
          <w:sz w:val="32"/>
          <w:szCs w:val="32"/>
        </w:rPr>
        <w:t>四、拟中选规则及备选竞争单元</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_Toc4676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7"/>
        <w:tabs>
          <w:tab w:val="right" w:leader="dot" w:pos="8844"/>
        </w:tabs>
        <w:spacing w:line="400" w:lineRule="exact"/>
        <w:jc w:val="both"/>
        <w:rPr>
          <w:rFonts w:ascii="仿宋_GB2312" w:hAnsi="仿宋_GB2312" w:eastAsia="仿宋_GB2312" w:cs="仿宋_GB2312"/>
          <w:sz w:val="32"/>
          <w:szCs w:val="32"/>
        </w:rPr>
      </w:pPr>
      <w:r>
        <w:fldChar w:fldCharType="begin"/>
      </w:r>
      <w:r>
        <w:instrText xml:space="preserve"> HYPERLINK \l "_Toc3979" </w:instrText>
      </w:r>
      <w:r>
        <w:fldChar w:fldCharType="separate"/>
      </w:r>
      <w:r>
        <w:rPr>
          <w:rFonts w:hint="eastAsia" w:ascii="仿宋_GB2312" w:hAnsi="仿宋_GB2312" w:eastAsia="仿宋_GB2312" w:cs="仿宋_GB2312"/>
          <w:kern w:val="2"/>
          <w:sz w:val="32"/>
          <w:szCs w:val="32"/>
        </w:rPr>
        <w:t>五、结果公示（公告）</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_Toc3979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7"/>
        <w:tabs>
          <w:tab w:val="right" w:leader="dot" w:pos="8844"/>
        </w:tabs>
        <w:spacing w:line="400" w:lineRule="exact"/>
        <w:jc w:val="both"/>
        <w:rPr>
          <w:rFonts w:ascii="仿宋_GB2312" w:hAnsi="仿宋_GB2312" w:eastAsia="仿宋_GB2312" w:cs="仿宋_GB2312"/>
          <w:sz w:val="32"/>
          <w:szCs w:val="32"/>
        </w:rPr>
      </w:pPr>
      <w:r>
        <w:fldChar w:fldCharType="begin"/>
      </w:r>
      <w:r>
        <w:instrText xml:space="preserve"> HYPERLINK \l "_Toc3889" </w:instrText>
      </w:r>
      <w:r>
        <w:fldChar w:fldCharType="separate"/>
      </w:r>
      <w:r>
        <w:rPr>
          <w:rFonts w:hint="eastAsia" w:ascii="仿宋_GB2312" w:hAnsi="仿宋_GB2312" w:eastAsia="仿宋_GB2312" w:cs="仿宋_GB2312"/>
          <w:kern w:val="2"/>
          <w:sz w:val="32"/>
          <w:szCs w:val="32"/>
        </w:rPr>
        <w:t>六、申（投）诉处理</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_Toc3889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7"/>
        <w:tabs>
          <w:tab w:val="right" w:leader="dot" w:pos="8844"/>
        </w:tabs>
        <w:spacing w:line="400" w:lineRule="exact"/>
        <w:jc w:val="both"/>
        <w:rPr>
          <w:rFonts w:ascii="仿宋_GB2312" w:hAnsi="仿宋_GB2312" w:eastAsia="仿宋_GB2312" w:cs="仿宋_GB2312"/>
          <w:sz w:val="32"/>
          <w:szCs w:val="32"/>
        </w:rPr>
      </w:pPr>
      <w:r>
        <w:fldChar w:fldCharType="begin"/>
      </w:r>
      <w:r>
        <w:instrText xml:space="preserve"> HYPERLINK \l "_Toc3259" </w:instrText>
      </w:r>
      <w:r>
        <w:fldChar w:fldCharType="separate"/>
      </w:r>
      <w:r>
        <w:rPr>
          <w:rFonts w:hint="eastAsia" w:ascii="仿宋_GB2312" w:hAnsi="仿宋_GB2312" w:eastAsia="仿宋_GB2312" w:cs="仿宋_GB2312"/>
          <w:kern w:val="2"/>
          <w:sz w:val="32"/>
          <w:szCs w:val="32"/>
        </w:rPr>
        <w:t>七、采购执行说明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_Toc3259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7"/>
        <w:tabs>
          <w:tab w:val="right" w:leader="dot" w:pos="8844"/>
        </w:tabs>
        <w:spacing w:line="400" w:lineRule="exact"/>
        <w:jc w:val="both"/>
        <w:rPr>
          <w:rFonts w:ascii="仿宋_GB2312" w:hAnsi="仿宋_GB2312" w:eastAsia="仿宋_GB2312" w:cs="仿宋_GB2312"/>
          <w:sz w:val="32"/>
          <w:szCs w:val="32"/>
        </w:rPr>
      </w:pPr>
      <w:r>
        <w:fldChar w:fldCharType="begin"/>
      </w:r>
      <w:r>
        <w:instrText xml:space="preserve"> HYPERLINK \l "_Toc13785" </w:instrText>
      </w:r>
      <w:r>
        <w:fldChar w:fldCharType="separate"/>
      </w:r>
      <w:r>
        <w:rPr>
          <w:rFonts w:hint="eastAsia" w:ascii="仿宋_GB2312" w:hAnsi="仿宋_GB2312" w:eastAsia="仿宋_GB2312" w:cs="仿宋_GB2312"/>
          <w:kern w:val="2"/>
          <w:sz w:val="32"/>
          <w:szCs w:val="32"/>
        </w:rPr>
        <w:t>八、动态调整机制</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_Toc13785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7"/>
        <w:tabs>
          <w:tab w:val="right" w:leader="dot" w:pos="8844"/>
        </w:tabs>
        <w:spacing w:line="400" w:lineRule="exact"/>
        <w:jc w:val="both"/>
        <w:rPr>
          <w:rFonts w:ascii="仿宋_GB2312" w:hAnsi="仿宋_GB2312" w:eastAsia="仿宋_GB2312" w:cs="仿宋_GB2312"/>
          <w:sz w:val="32"/>
          <w:szCs w:val="32"/>
        </w:rPr>
      </w:pPr>
      <w:r>
        <w:fldChar w:fldCharType="begin"/>
      </w:r>
      <w:r>
        <w:instrText xml:space="preserve"> HYPERLINK \l "_Toc20413" </w:instrText>
      </w:r>
      <w:r>
        <w:fldChar w:fldCharType="separate"/>
      </w:r>
      <w:r>
        <w:rPr>
          <w:rFonts w:hint="eastAsia" w:ascii="仿宋_GB2312" w:hAnsi="仿宋_GB2312" w:eastAsia="仿宋_GB2312" w:cs="仿宋_GB2312"/>
          <w:kern w:val="2"/>
          <w:sz w:val="32"/>
          <w:szCs w:val="32"/>
        </w:rPr>
        <w:t>九、交易管理</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_Toc20413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7"/>
        <w:tabs>
          <w:tab w:val="right" w:leader="dot" w:pos="8844"/>
        </w:tabs>
        <w:spacing w:line="400" w:lineRule="exact"/>
        <w:jc w:val="both"/>
        <w:rPr>
          <w:rFonts w:ascii="仿宋_GB2312" w:hAnsi="仿宋_GB2312" w:eastAsia="仿宋_GB2312" w:cs="仿宋_GB2312"/>
          <w:sz w:val="32"/>
          <w:szCs w:val="32"/>
        </w:rPr>
      </w:pPr>
      <w:r>
        <w:fldChar w:fldCharType="begin"/>
      </w:r>
      <w:r>
        <w:instrText xml:space="preserve"> HYPERLINK \l "_Toc4875" </w:instrText>
      </w:r>
      <w:r>
        <w:fldChar w:fldCharType="separate"/>
      </w:r>
      <w:r>
        <w:rPr>
          <w:rFonts w:hint="eastAsia" w:ascii="仿宋_GB2312" w:hAnsi="仿宋_GB2312" w:eastAsia="仿宋_GB2312" w:cs="仿宋_GB2312"/>
          <w:kern w:val="2"/>
          <w:sz w:val="32"/>
          <w:szCs w:val="32"/>
        </w:rPr>
        <w:t>十、其他</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_Toc4875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5"/>
        <w:tabs>
          <w:tab w:val="right" w:leader="dot" w:pos="8844"/>
        </w:tabs>
        <w:spacing w:line="400" w:lineRule="exact"/>
        <w:jc w:val="both"/>
        <w:rPr>
          <w:rFonts w:ascii="仿宋_GB2312" w:hAnsi="仿宋_GB2312" w:eastAsia="仿宋_GB2312" w:cs="仿宋_GB2312"/>
          <w:sz w:val="32"/>
          <w:szCs w:val="32"/>
        </w:rPr>
      </w:pPr>
      <w:r>
        <w:fldChar w:fldCharType="begin"/>
      </w:r>
      <w:r>
        <w:instrText xml:space="preserve"> HYPERLINK \l "_Toc25632" </w:instrText>
      </w:r>
      <w:r>
        <w:fldChar w:fldCharType="separate"/>
      </w:r>
      <w:r>
        <w:rPr>
          <w:rFonts w:hint="eastAsia" w:ascii="仿宋_GB2312" w:hAnsi="仿宋_GB2312" w:eastAsia="仿宋_GB2312" w:cs="仿宋_GB2312"/>
          <w:kern w:val="2"/>
          <w:sz w:val="32"/>
          <w:szCs w:val="32"/>
        </w:rPr>
        <w:t>第三部分 附件</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_Toc25632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5"/>
        <w:tabs>
          <w:tab w:val="right" w:leader="dot" w:pos="8844"/>
        </w:tabs>
        <w:spacing w:line="400" w:lineRule="exact"/>
        <w:ind w:firstLine="240" w:firstLineChars="100"/>
        <w:jc w:val="both"/>
        <w:rPr>
          <w:rFonts w:ascii="仿宋_GB2312" w:hAnsi="仿宋_GB2312" w:eastAsia="仿宋_GB2312" w:cs="仿宋_GB2312"/>
          <w:sz w:val="32"/>
          <w:szCs w:val="32"/>
        </w:rPr>
      </w:pPr>
      <w:r>
        <w:fldChar w:fldCharType="begin"/>
      </w:r>
      <w:r>
        <w:instrText xml:space="preserve"> HYPERLINK \l "_Toc30226" </w:instrText>
      </w:r>
      <w:r>
        <w:fldChar w:fldCharType="separate"/>
      </w:r>
      <w:r>
        <w:rPr>
          <w:rFonts w:hint="eastAsia" w:ascii="仿宋_GB2312" w:hAnsi="仿宋_GB2312" w:eastAsia="仿宋_GB2312" w:cs="仿宋_GB2312"/>
          <w:kern w:val="2"/>
          <w:sz w:val="32"/>
          <w:szCs w:val="32"/>
        </w:rPr>
        <w:t>附件1：承诺函</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_Toc30226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5"/>
        <w:tabs>
          <w:tab w:val="right" w:leader="dot" w:pos="8844"/>
        </w:tabs>
        <w:spacing w:line="400" w:lineRule="exact"/>
        <w:ind w:firstLine="240" w:firstLineChars="100"/>
        <w:jc w:val="both"/>
        <w:rPr>
          <w:rFonts w:ascii="仿宋_GB2312" w:hAnsi="仿宋_GB2312" w:eastAsia="仿宋_GB2312" w:cs="仿宋_GB2312"/>
          <w:sz w:val="32"/>
          <w:szCs w:val="32"/>
        </w:rPr>
      </w:pPr>
      <w:r>
        <w:fldChar w:fldCharType="begin"/>
      </w:r>
      <w:r>
        <w:instrText xml:space="preserve"> HYPERLINK \l "_Toc28187" </w:instrText>
      </w:r>
      <w:r>
        <w:fldChar w:fldCharType="separate"/>
      </w:r>
      <w:r>
        <w:rPr>
          <w:rFonts w:hint="eastAsia" w:ascii="仿宋_GB2312" w:hAnsi="仿宋_GB2312" w:eastAsia="仿宋_GB2312" w:cs="仿宋_GB2312"/>
          <w:kern w:val="2"/>
          <w:sz w:val="32"/>
          <w:szCs w:val="32"/>
        </w:rPr>
        <w:t>附件2：医疗机构医用耗材价格优势专区采购合同</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_Toc28187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7"/>
        <w:tabs>
          <w:tab w:val="right" w:leader="dot" w:pos="8844"/>
        </w:tabs>
        <w:spacing w:line="40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fldChar w:fldCharType="end"/>
      </w:r>
    </w:p>
    <w:p>
      <w:pPr>
        <w:pStyle w:val="17"/>
        <w:widowControl w:val="0"/>
        <w:tabs>
          <w:tab w:val="right" w:leader="dot" w:pos="8844"/>
        </w:tabs>
        <w:spacing w:after="0" w:line="580" w:lineRule="exact"/>
        <w:ind w:left="480" w:leftChars="200"/>
        <w:jc w:val="both"/>
        <w:rPr>
          <w:rFonts w:ascii="仿宋_GB2312" w:hAnsi="仿宋_GB2312" w:eastAsia="仿宋_GB2312" w:cs="仿宋_GB2312"/>
          <w:kern w:val="2"/>
          <w:sz w:val="32"/>
          <w:szCs w:val="32"/>
        </w:rPr>
        <w:sectPr>
          <w:footerReference r:id="rId11" w:type="default"/>
          <w:pgSz w:w="11906" w:h="16838"/>
          <w:pgMar w:top="1871" w:right="1531" w:bottom="1871" w:left="1531" w:header="850" w:footer="992" w:gutter="0"/>
          <w:pgNumType w:start="1"/>
          <w:cols w:space="720" w:num="1"/>
          <w:docGrid w:type="lines" w:linePitch="408" w:charSpace="0"/>
        </w:sectPr>
      </w:pPr>
    </w:p>
    <w:p>
      <w:pPr>
        <w:pStyle w:val="3"/>
        <w:keepNext w:val="0"/>
        <w:keepLines w:val="0"/>
        <w:widowControl/>
        <w:adjustRightInd w:val="0"/>
        <w:snapToGrid w:val="0"/>
        <w:spacing w:after="163" w:afterLines="50" w:line="560" w:lineRule="exact"/>
        <w:ind w:left="0"/>
        <w:jc w:val="center"/>
        <w:rPr>
          <w:rFonts w:ascii="仿宋_GB2312" w:hAnsi="仿宋_GB2312" w:eastAsia="仿宋_GB2312" w:cs="仿宋_GB2312"/>
          <w:sz w:val="32"/>
          <w:szCs w:val="32"/>
        </w:rPr>
      </w:pPr>
      <w:bookmarkStart w:id="1" w:name="_Toc31029"/>
      <w:bookmarkStart w:id="2" w:name="_Toc22397"/>
      <w:bookmarkStart w:id="3" w:name="_Toc15034"/>
      <w:bookmarkStart w:id="4" w:name="_Toc14364"/>
      <w:r>
        <w:rPr>
          <w:rFonts w:hint="eastAsia" w:ascii="方正小标宋简体" w:hAnsi="方正小标宋简体" w:eastAsia="方正小标宋简体" w:cs="方正小标宋简体"/>
          <w:b w:val="0"/>
          <w:bCs w:val="0"/>
          <w:kern w:val="2"/>
        </w:rPr>
        <w:t xml:space="preserve">第一部分 </w:t>
      </w:r>
      <w:bookmarkEnd w:id="1"/>
      <w:r>
        <w:rPr>
          <w:rFonts w:hint="eastAsia" w:ascii="方正小标宋简体" w:hAnsi="方正小标宋简体" w:eastAsia="方正小标宋简体" w:cs="方正小标宋简体"/>
          <w:b w:val="0"/>
          <w:bCs w:val="0"/>
          <w:kern w:val="2"/>
        </w:rPr>
        <w:t>谈判公告</w:t>
      </w:r>
      <w:bookmarkEnd w:id="2"/>
    </w:p>
    <w:p>
      <w:pPr>
        <w:widowControl/>
        <w:adjustRightInd w:val="0"/>
        <w:snapToGrid w:val="0"/>
        <w:spacing w:line="560" w:lineRule="exact"/>
        <w:ind w:left="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为推进我市医用耗材价格谈判工作，促进医用耗材价格合理回归，减轻人民群众负担，根据《深圳市推进公立医疗机构医用耗材阳光交易工作实施方案》（深治耗办〔2020〕1号）和《深圳市医疗保障局关于进一步完善医用耗材分类集中采购支持深圳阳光平台开展价格谈判的通知》（深医保规〔2021〕6号）等文件精神，在深圳市医疗保障局和深圳市医疗保险基金管理中心的监督指导下，深圳公共资源交易中心（以下简称交易中心）通过深圳医用耗材阳光交易和监管平台（以下简称深圳阳光平台）组织开展中心静脉导管（PICC）价格谈判工作。</w:t>
      </w:r>
    </w:p>
    <w:p>
      <w:pPr>
        <w:widowControl/>
        <w:spacing w:line="560" w:lineRule="exact"/>
        <w:ind w:left="0" w:firstLine="640" w:firstLineChars="200"/>
        <w:jc w:val="both"/>
        <w:outlineLvl w:val="1"/>
        <w:rPr>
          <w:rFonts w:ascii="黑体" w:hAnsi="黑体" w:eastAsia="黑体" w:cs="黑体"/>
          <w:kern w:val="2"/>
          <w:sz w:val="32"/>
          <w:szCs w:val="32"/>
        </w:rPr>
      </w:pPr>
      <w:bookmarkStart w:id="5" w:name="_Toc24718"/>
      <w:bookmarkStart w:id="6" w:name="_Toc11891"/>
      <w:bookmarkStart w:id="7" w:name="_Toc26689"/>
      <w:r>
        <w:rPr>
          <w:rFonts w:hint="eastAsia" w:ascii="黑体" w:hAnsi="黑体" w:eastAsia="黑体" w:cs="黑体"/>
          <w:kern w:val="2"/>
          <w:sz w:val="32"/>
          <w:szCs w:val="32"/>
        </w:rPr>
        <w:t>一、采购主体</w:t>
      </w:r>
      <w:bookmarkEnd w:id="5"/>
      <w:bookmarkEnd w:id="6"/>
      <w:bookmarkEnd w:id="7"/>
    </w:p>
    <w:p>
      <w:pPr>
        <w:widowControl/>
        <w:adjustRightInd w:val="0"/>
        <w:snapToGrid w:val="0"/>
        <w:spacing w:line="560" w:lineRule="exact"/>
        <w:ind w:left="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全市各类公立医疗机构，非公立医疗机构自愿参加。</w:t>
      </w:r>
    </w:p>
    <w:p>
      <w:pPr>
        <w:widowControl/>
        <w:spacing w:line="560" w:lineRule="exact"/>
        <w:ind w:left="0" w:firstLine="640" w:firstLineChars="200"/>
        <w:jc w:val="both"/>
        <w:outlineLvl w:val="1"/>
        <w:rPr>
          <w:rFonts w:ascii="黑体" w:hAnsi="黑体" w:eastAsia="黑体" w:cs="黑体"/>
          <w:kern w:val="2"/>
          <w:sz w:val="32"/>
          <w:szCs w:val="32"/>
        </w:rPr>
      </w:pPr>
      <w:bookmarkStart w:id="8" w:name="_Toc2493"/>
      <w:bookmarkStart w:id="9" w:name="_Toc831"/>
      <w:bookmarkStart w:id="10" w:name="_Toc20660"/>
      <w:r>
        <w:rPr>
          <w:rFonts w:hint="eastAsia" w:ascii="黑体" w:hAnsi="黑体" w:eastAsia="黑体" w:cs="黑体"/>
          <w:kern w:val="2"/>
          <w:sz w:val="32"/>
          <w:szCs w:val="32"/>
        </w:rPr>
        <w:t>二、谈判</w:t>
      </w:r>
      <w:bookmarkEnd w:id="8"/>
      <w:bookmarkEnd w:id="9"/>
      <w:bookmarkEnd w:id="10"/>
      <w:r>
        <w:rPr>
          <w:rFonts w:hint="eastAsia" w:ascii="黑体" w:hAnsi="黑体" w:eastAsia="黑体" w:cs="黑体"/>
          <w:kern w:val="2"/>
          <w:sz w:val="32"/>
          <w:szCs w:val="32"/>
        </w:rPr>
        <w:t>产品</w:t>
      </w:r>
    </w:p>
    <w:p>
      <w:pPr>
        <w:widowControl/>
        <w:adjustRightInd w:val="0"/>
        <w:snapToGrid w:val="0"/>
        <w:spacing w:line="560" w:lineRule="exact"/>
        <w:ind w:left="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本次价格谈判涉及的产品为已获得国家医保医用耗材代码的</w:t>
      </w:r>
      <w:bookmarkStart w:id="11" w:name="_Hlk110098836"/>
      <w:r>
        <w:rPr>
          <w:rFonts w:hint="eastAsia" w:ascii="仿宋_GB2312" w:hAnsi="仿宋_GB2312" w:eastAsia="仿宋_GB2312" w:cs="仿宋_GB2312"/>
          <w:sz w:val="32"/>
          <w:szCs w:val="32"/>
        </w:rPr>
        <w:t>中心静脉导管（PICC）（脐血管导管和婴儿脐动静脉导管不在本次采购范围内），以及符合申报要求的导管鞘、超声探头穿刺架套件等附属产品。</w:t>
      </w:r>
      <w:bookmarkEnd w:id="11"/>
      <w:r>
        <w:rPr>
          <w:rFonts w:hint="eastAsia" w:ascii="仿宋_GB2312" w:hAnsi="仿宋_GB2312" w:eastAsia="仿宋_GB2312" w:cs="仿宋_GB2312"/>
          <w:sz w:val="32"/>
          <w:szCs w:val="32"/>
        </w:rPr>
        <w:t>具体范围如下：</w:t>
      </w:r>
    </w:p>
    <w:tbl>
      <w:tblPr>
        <w:tblStyle w:val="22"/>
        <w:tblW w:w="0" w:type="auto"/>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6"/>
        <w:gridCol w:w="5316"/>
        <w:gridCol w:w="1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1516" w:type="dxa"/>
            <w:vAlign w:val="center"/>
          </w:tcPr>
          <w:p>
            <w:pPr>
              <w:pStyle w:val="19"/>
              <w:spacing w:before="0" w:beforeAutospacing="0" w:after="0" w:afterAutospacing="0" w:line="240" w:lineRule="auto"/>
              <w:ind w:left="0"/>
              <w:jc w:val="center"/>
              <w:rPr>
                <w:rFonts w:ascii="仿宋_GB2312" w:hAnsi="仿宋_GB2312" w:eastAsia="仿宋_GB2312" w:cs="仿宋_GB2312"/>
              </w:rPr>
            </w:pPr>
            <w:bookmarkStart w:id="12" w:name="_Toc18203"/>
            <w:bookmarkStart w:id="13" w:name="_Toc32702"/>
            <w:bookmarkStart w:id="14" w:name="_Toc28593"/>
            <w:r>
              <w:rPr>
                <w:rFonts w:hint="eastAsia" w:ascii="仿宋_GB2312" w:hAnsi="仿宋_GB2312" w:eastAsia="仿宋_GB2312" w:cs="仿宋_GB2312"/>
                <w:b/>
                <w:bCs/>
              </w:rPr>
              <w:t>产品名称</w:t>
            </w:r>
          </w:p>
        </w:tc>
        <w:tc>
          <w:tcPr>
            <w:tcW w:w="5316" w:type="dxa"/>
            <w:vAlign w:val="center"/>
          </w:tcPr>
          <w:p>
            <w:pPr>
              <w:pStyle w:val="19"/>
              <w:spacing w:before="0" w:beforeAutospacing="0" w:after="0" w:afterAutospacing="0" w:line="240" w:lineRule="auto"/>
              <w:ind w:left="0"/>
              <w:jc w:val="center"/>
              <w:rPr>
                <w:rFonts w:ascii="仿宋_GB2312" w:hAnsi="仿宋_GB2312" w:eastAsia="仿宋_GB2312" w:cs="仿宋_GB2312"/>
              </w:rPr>
            </w:pPr>
            <w:r>
              <w:rPr>
                <w:rFonts w:hint="eastAsia" w:ascii="仿宋_GB2312" w:hAnsi="仿宋_GB2312" w:eastAsia="仿宋_GB2312" w:cs="仿宋_GB2312"/>
                <w:b/>
                <w:bCs/>
              </w:rPr>
              <w:t>产品描述</w:t>
            </w:r>
          </w:p>
        </w:tc>
        <w:tc>
          <w:tcPr>
            <w:tcW w:w="1966" w:type="dxa"/>
            <w:vAlign w:val="center"/>
          </w:tcPr>
          <w:p>
            <w:pPr>
              <w:pStyle w:val="19"/>
              <w:spacing w:before="0" w:beforeAutospacing="0" w:after="0" w:afterAutospacing="0" w:line="240" w:lineRule="auto"/>
              <w:ind w:left="0"/>
              <w:jc w:val="center"/>
              <w:rPr>
                <w:rFonts w:ascii="仿宋_GB2312" w:hAnsi="仿宋_GB2312" w:eastAsia="仿宋_GB2312" w:cs="仿宋_GB2312"/>
              </w:rPr>
            </w:pPr>
            <w:r>
              <w:rPr>
                <w:rFonts w:hint="eastAsia" w:ascii="仿宋_GB2312" w:hAnsi="仿宋_GB2312" w:eastAsia="仿宋_GB2312" w:cs="仿宋_GB2312"/>
                <w:b/>
                <w:bCs/>
              </w:rPr>
              <w:t>医保医用耗材代码（前7位）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516" w:type="dxa"/>
            <w:vAlign w:val="center"/>
          </w:tcPr>
          <w:p>
            <w:pPr>
              <w:pStyle w:val="19"/>
              <w:spacing w:before="0" w:beforeAutospacing="0" w:after="0" w:afterAutospacing="0" w:line="240" w:lineRule="auto"/>
              <w:ind w:left="0"/>
              <w:jc w:val="center"/>
              <w:rPr>
                <w:rFonts w:ascii="仿宋_GB2312" w:hAnsi="仿宋_GB2312" w:eastAsia="仿宋_GB2312" w:cs="仿宋_GB2312"/>
              </w:rPr>
            </w:pPr>
            <w:r>
              <w:rPr>
                <w:rFonts w:hint="eastAsia" w:ascii="仿宋_GB2312" w:hAnsi="仿宋_GB2312" w:eastAsia="仿宋_GB2312" w:cs="仿宋_GB2312"/>
              </w:rPr>
              <w:t>中心静脉导管（PICC）</w:t>
            </w:r>
          </w:p>
        </w:tc>
        <w:tc>
          <w:tcPr>
            <w:tcW w:w="5316" w:type="dxa"/>
            <w:vAlign w:val="center"/>
          </w:tcPr>
          <w:p>
            <w:pPr>
              <w:pStyle w:val="19"/>
              <w:spacing w:before="0" w:beforeAutospacing="0" w:after="0" w:afterAutospacing="0" w:line="240" w:lineRule="auto"/>
              <w:ind w:left="0"/>
              <w:rPr>
                <w:rFonts w:ascii="仿宋_GB2312" w:hAnsi="仿宋_GB2312" w:eastAsia="仿宋_GB2312" w:cs="仿宋_GB2312"/>
              </w:rPr>
            </w:pPr>
            <w:r>
              <w:rPr>
                <w:rFonts w:hint="eastAsia" w:ascii="仿宋_GB2312" w:hAnsi="仿宋_GB2312" w:eastAsia="仿宋_GB2312" w:cs="仿宋_GB2312"/>
              </w:rPr>
              <w:t>通常由导管管体、接头等结构组成。管体结构为单腔或多腔。含或不含有药物。用于经外周置入中心静脉系统，以输入药液或抽取血样和/或压力等测量。管理类别为Ⅲ类。脐血管导管和婴儿脐动静脉导管不在本次采购范围内。</w:t>
            </w:r>
          </w:p>
        </w:tc>
        <w:tc>
          <w:tcPr>
            <w:tcW w:w="1966" w:type="dxa"/>
            <w:vAlign w:val="center"/>
          </w:tcPr>
          <w:p>
            <w:pPr>
              <w:pStyle w:val="19"/>
              <w:spacing w:before="0" w:beforeAutospacing="0" w:after="0" w:afterAutospacing="0" w:line="240" w:lineRule="auto"/>
              <w:ind w:left="0"/>
              <w:jc w:val="center"/>
              <w:rPr>
                <w:rFonts w:ascii="仿宋_GB2312" w:hAnsi="仿宋_GB2312" w:eastAsia="仿宋_GB2312" w:cs="仿宋_GB2312"/>
              </w:rPr>
            </w:pPr>
            <w:r>
              <w:rPr>
                <w:rFonts w:hint="eastAsia" w:ascii="仿宋_GB2312" w:hAnsi="仿宋_GB2312" w:eastAsia="仿宋_GB2312" w:cs="仿宋_GB2312"/>
              </w:rPr>
              <w:t>C020703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516" w:type="dxa"/>
            <w:vAlign w:val="center"/>
          </w:tcPr>
          <w:p>
            <w:pPr>
              <w:pStyle w:val="19"/>
              <w:spacing w:before="0" w:beforeAutospacing="0" w:after="0" w:afterAutospacing="0" w:line="240" w:lineRule="auto"/>
              <w:ind w:left="0"/>
              <w:jc w:val="center"/>
              <w:rPr>
                <w:rFonts w:ascii="仿宋_GB2312" w:hAnsi="仿宋_GB2312" w:eastAsia="仿宋_GB2312" w:cs="仿宋_GB2312"/>
              </w:rPr>
            </w:pPr>
            <w:r>
              <w:rPr>
                <w:rFonts w:hint="eastAsia" w:ascii="仿宋_GB2312" w:hAnsi="仿宋_GB2312" w:eastAsia="仿宋_GB2312" w:cs="仿宋_GB2312"/>
              </w:rPr>
              <w:t>导管鞘（附属产品）</w:t>
            </w:r>
          </w:p>
        </w:tc>
        <w:tc>
          <w:tcPr>
            <w:tcW w:w="5316" w:type="dxa"/>
            <w:vAlign w:val="center"/>
          </w:tcPr>
          <w:p>
            <w:pPr>
              <w:pStyle w:val="19"/>
              <w:spacing w:before="0" w:beforeAutospacing="0" w:after="0" w:afterAutospacing="0" w:line="240" w:lineRule="auto"/>
              <w:ind w:left="0"/>
              <w:rPr>
                <w:rFonts w:ascii="仿宋_GB2312" w:hAnsi="仿宋_GB2312" w:eastAsia="仿宋_GB2312" w:cs="仿宋_GB2312"/>
              </w:rPr>
            </w:pPr>
            <w:r>
              <w:rPr>
                <w:rFonts w:hint="eastAsia" w:ascii="仿宋_GB2312" w:hAnsi="仿宋_GB2312" w:eastAsia="仿宋_GB2312" w:cs="仿宋_GB2312"/>
              </w:rPr>
              <w:t>又称赛丁格，通常由鞘管、接头组成，也可配备止血阀、侧管等结构，某些导管鞘设计为可撕开式。鞘管内腔一般较大。与扩张器配合使用，用于将导丝、导管等医疗器械插入血管。管理类别为Ⅲ类。</w:t>
            </w:r>
          </w:p>
        </w:tc>
        <w:tc>
          <w:tcPr>
            <w:tcW w:w="1966" w:type="dxa"/>
            <w:vAlign w:val="center"/>
          </w:tcPr>
          <w:p>
            <w:pPr>
              <w:pStyle w:val="19"/>
              <w:spacing w:before="0" w:beforeAutospacing="0" w:after="0" w:afterAutospacing="0" w:line="240" w:lineRule="auto"/>
              <w:ind w:left="0"/>
              <w:jc w:val="center"/>
              <w:rPr>
                <w:rFonts w:ascii="仿宋_GB2312" w:hAnsi="仿宋_GB2312" w:eastAsia="仿宋_GB2312" w:cs="仿宋_GB2312"/>
              </w:rPr>
            </w:pPr>
            <w:r>
              <w:rPr>
                <w:rFonts w:hint="eastAsia" w:ascii="仿宋_GB2312" w:hAnsi="仿宋_GB2312" w:eastAsia="仿宋_GB2312" w:cs="仿宋_GB2312"/>
              </w:rPr>
              <w:t>C020710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6" w:hRule="atLeast"/>
        </w:trPr>
        <w:tc>
          <w:tcPr>
            <w:tcW w:w="1516" w:type="dxa"/>
            <w:vAlign w:val="center"/>
          </w:tcPr>
          <w:p>
            <w:pPr>
              <w:pStyle w:val="19"/>
              <w:spacing w:before="0" w:beforeAutospacing="0" w:after="0" w:afterAutospacing="0" w:line="240" w:lineRule="auto"/>
              <w:ind w:left="0"/>
              <w:jc w:val="center"/>
              <w:rPr>
                <w:rFonts w:ascii="仿宋_GB2312" w:hAnsi="仿宋_GB2312" w:eastAsia="仿宋_GB2312" w:cs="仿宋_GB2312"/>
              </w:rPr>
            </w:pPr>
            <w:r>
              <w:rPr>
                <w:rFonts w:hint="eastAsia" w:ascii="仿宋_GB2312" w:hAnsi="仿宋_GB2312" w:eastAsia="仿宋_GB2312" w:cs="仿宋_GB2312"/>
              </w:rPr>
              <w:t>超声探头穿刺架套件（附属产品）</w:t>
            </w:r>
          </w:p>
        </w:tc>
        <w:tc>
          <w:tcPr>
            <w:tcW w:w="5316" w:type="dxa"/>
            <w:vAlign w:val="center"/>
          </w:tcPr>
          <w:p>
            <w:pPr>
              <w:pStyle w:val="19"/>
              <w:spacing w:before="0" w:beforeAutospacing="0" w:after="0" w:afterAutospacing="0" w:line="240" w:lineRule="auto"/>
              <w:ind w:left="0"/>
              <w:rPr>
                <w:rFonts w:ascii="仿宋_GB2312" w:hAnsi="仿宋_GB2312" w:eastAsia="仿宋_GB2312" w:cs="仿宋_GB2312"/>
              </w:rPr>
            </w:pPr>
            <w:r>
              <w:rPr>
                <w:rFonts w:hint="eastAsia" w:ascii="仿宋_GB2312" w:hAnsi="仿宋_GB2312" w:eastAsia="仿宋_GB2312" w:cs="仿宋_GB2312"/>
              </w:rPr>
              <w:t>超声探头穿刺架套件一般由超声探头穿刺架、探头保护罩和医用超声耦合剂（选配）等以组合形式提供。</w:t>
            </w:r>
          </w:p>
          <w:p>
            <w:pPr>
              <w:pStyle w:val="19"/>
              <w:spacing w:before="0" w:beforeAutospacing="0" w:after="0" w:afterAutospacing="0" w:line="240" w:lineRule="auto"/>
              <w:ind w:left="0"/>
              <w:rPr>
                <w:rFonts w:ascii="仿宋_GB2312" w:hAnsi="仿宋_GB2312" w:eastAsia="仿宋_GB2312" w:cs="仿宋_GB2312"/>
              </w:rPr>
            </w:pPr>
            <w:r>
              <w:rPr>
                <w:rFonts w:hint="eastAsia" w:ascii="仿宋_GB2312" w:hAnsi="仿宋_GB2312" w:eastAsia="仿宋_GB2312" w:cs="仿宋_GB2312"/>
              </w:rPr>
              <w:t>超声探头穿刺架，又称导针器，通常安装在超声探头上，在超声的引导下将穿刺针引导到人体的目标位置。管理类别为I类或Ⅱ类。</w:t>
            </w:r>
          </w:p>
        </w:tc>
        <w:tc>
          <w:tcPr>
            <w:tcW w:w="1966" w:type="dxa"/>
            <w:vAlign w:val="center"/>
          </w:tcPr>
          <w:p>
            <w:pPr>
              <w:pStyle w:val="19"/>
              <w:spacing w:before="0" w:beforeAutospacing="0" w:after="0" w:afterAutospacing="0" w:line="240" w:lineRule="auto"/>
              <w:ind w:left="0"/>
              <w:jc w:val="center"/>
              <w:rPr>
                <w:rFonts w:ascii="仿宋_GB2312" w:hAnsi="仿宋_GB2312" w:eastAsia="仿宋_GB2312" w:cs="仿宋_GB2312"/>
              </w:rPr>
            </w:pPr>
            <w:r>
              <w:rPr>
                <w:rFonts w:hint="eastAsia" w:ascii="仿宋_GB2312" w:hAnsi="仿宋_GB2312" w:eastAsia="仿宋_GB2312" w:cs="仿宋_GB2312"/>
              </w:rPr>
              <w:t>包括但不限于C010611</w:t>
            </w:r>
          </w:p>
        </w:tc>
      </w:tr>
    </w:tbl>
    <w:p>
      <w:pPr>
        <w:widowControl/>
        <w:adjustRightInd w:val="0"/>
        <w:snapToGrid w:val="0"/>
        <w:spacing w:line="560" w:lineRule="exact"/>
        <w:ind w:left="0" w:firstLine="420" w:firstLineChars="20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备注：不满足申报要求的导管鞘、超声探头穿刺架套件等附属产品不能作为产品申报。</w:t>
      </w:r>
    </w:p>
    <w:p>
      <w:pPr>
        <w:widowControl/>
        <w:spacing w:line="560" w:lineRule="exact"/>
        <w:ind w:left="0" w:firstLine="640" w:firstLineChars="200"/>
        <w:jc w:val="both"/>
        <w:outlineLvl w:val="1"/>
        <w:rPr>
          <w:rFonts w:ascii="黑体" w:hAnsi="黑体" w:eastAsia="黑体" w:cs="黑体"/>
          <w:kern w:val="2"/>
          <w:sz w:val="32"/>
          <w:szCs w:val="32"/>
        </w:rPr>
      </w:pPr>
      <w:r>
        <w:rPr>
          <w:rFonts w:hint="eastAsia" w:ascii="黑体" w:hAnsi="黑体" w:eastAsia="黑体" w:cs="黑体"/>
          <w:kern w:val="2"/>
          <w:sz w:val="32"/>
          <w:szCs w:val="32"/>
        </w:rPr>
        <w:t>三、</w:t>
      </w:r>
      <w:bookmarkEnd w:id="3"/>
      <w:bookmarkEnd w:id="4"/>
      <w:bookmarkEnd w:id="12"/>
      <w:bookmarkEnd w:id="13"/>
      <w:r>
        <w:rPr>
          <w:rFonts w:hint="eastAsia" w:ascii="黑体" w:hAnsi="黑体" w:eastAsia="黑体" w:cs="黑体"/>
          <w:kern w:val="2"/>
          <w:sz w:val="32"/>
          <w:szCs w:val="32"/>
        </w:rPr>
        <w:t>谈判结果执行周期</w:t>
      </w:r>
      <w:bookmarkEnd w:id="14"/>
    </w:p>
    <w:p>
      <w:pPr>
        <w:widowControl/>
        <w:adjustRightInd w:val="0"/>
        <w:snapToGrid w:val="0"/>
        <w:spacing w:line="560" w:lineRule="exact"/>
        <w:ind w:left="0" w:firstLine="640" w:firstLineChars="200"/>
        <w:jc w:val="both"/>
        <w:rPr>
          <w:rFonts w:ascii="仿宋_GB2312" w:hAnsi="仿宋_GB2312" w:eastAsia="仿宋_GB2312" w:cs="仿宋_GB2312"/>
          <w:sz w:val="32"/>
          <w:szCs w:val="32"/>
        </w:rPr>
      </w:pPr>
      <w:bookmarkStart w:id="15" w:name="_Toc2725"/>
      <w:r>
        <w:rPr>
          <w:rFonts w:hint="eastAsia" w:ascii="仿宋_GB2312" w:hAnsi="仿宋_GB2312" w:eastAsia="仿宋_GB2312" w:cs="仿宋_GB2312"/>
          <w:sz w:val="32"/>
          <w:szCs w:val="32"/>
        </w:rPr>
        <w:t>谈判结果执行周期原则上不超过2年，自中选结果实际执行之日起计算。</w:t>
      </w:r>
    </w:p>
    <w:bookmarkEnd w:id="15"/>
    <w:p>
      <w:pPr>
        <w:pStyle w:val="19"/>
        <w:shd w:val="clear" w:color="auto" w:fill="FFFFFF"/>
        <w:spacing w:before="0" w:beforeAutospacing="0" w:after="0" w:afterAutospacing="0" w:line="560" w:lineRule="exact"/>
        <w:ind w:left="0" w:firstLine="634"/>
        <w:jc w:val="both"/>
        <w:outlineLvl w:val="1"/>
        <w:rPr>
          <w:rFonts w:ascii="黑体" w:eastAsia="黑体" w:cs="黑体"/>
          <w:sz w:val="32"/>
          <w:szCs w:val="32"/>
        </w:rPr>
      </w:pPr>
      <w:bookmarkStart w:id="16" w:name="_Toc8320"/>
      <w:bookmarkStart w:id="17" w:name="_Toc8699"/>
      <w:bookmarkStart w:id="18" w:name="_Toc20456"/>
      <w:r>
        <w:rPr>
          <w:rFonts w:hint="eastAsia" w:ascii="黑体" w:hAnsi="黑体" w:eastAsia="黑体" w:cs="黑体"/>
          <w:kern w:val="2"/>
          <w:sz w:val="32"/>
          <w:szCs w:val="32"/>
        </w:rPr>
        <w:t>四、</w:t>
      </w:r>
      <w:r>
        <w:rPr>
          <w:rFonts w:hint="eastAsia" w:ascii="黑体" w:eastAsia="黑体" w:cs="黑体"/>
          <w:sz w:val="32"/>
          <w:szCs w:val="32"/>
          <w:shd w:val="clear" w:color="auto" w:fill="FFFFFF"/>
        </w:rPr>
        <w:t>申报要求</w:t>
      </w:r>
      <w:bookmarkEnd w:id="16"/>
      <w:bookmarkEnd w:id="17"/>
      <w:bookmarkEnd w:id="18"/>
    </w:p>
    <w:p>
      <w:pPr>
        <w:pStyle w:val="13"/>
        <w:widowControl/>
        <w:numPr>
          <w:ilvl w:val="0"/>
          <w:numId w:val="2"/>
        </w:numPr>
        <w:spacing w:line="560" w:lineRule="exact"/>
        <w:ind w:left="0" w:firstLine="640" w:firstLineChars="200"/>
        <w:jc w:val="both"/>
        <w:outlineLvl w:val="2"/>
        <w:rPr>
          <w:rFonts w:ascii="楷体_GB2312" w:hAnsi="楷体_GB2312" w:eastAsia="楷体_GB2312" w:cs="楷体_GB2312"/>
          <w:kern w:val="2"/>
          <w:sz w:val="32"/>
          <w:szCs w:val="32"/>
        </w:rPr>
      </w:pPr>
      <w:bookmarkStart w:id="19" w:name="_Toc31270"/>
      <w:bookmarkStart w:id="20" w:name="_Toc25547"/>
      <w:bookmarkStart w:id="21" w:name="_Toc15113"/>
      <w:bookmarkStart w:id="22" w:name="_Toc24993"/>
      <w:bookmarkStart w:id="23" w:name="_Toc4064"/>
      <w:bookmarkStart w:id="24" w:name="_Hlk103506275"/>
      <w:r>
        <w:rPr>
          <w:rFonts w:hint="eastAsia" w:ascii="楷体_GB2312" w:hAnsi="楷体_GB2312" w:eastAsia="楷体_GB2312" w:cs="楷体_GB2312"/>
          <w:kern w:val="2"/>
          <w:sz w:val="32"/>
          <w:szCs w:val="32"/>
        </w:rPr>
        <w:t>申报企业资格要求</w:t>
      </w:r>
      <w:bookmarkEnd w:id="19"/>
      <w:bookmarkEnd w:id="20"/>
      <w:bookmarkEnd w:id="21"/>
      <w:bookmarkEnd w:id="22"/>
      <w:bookmarkEnd w:id="23"/>
    </w:p>
    <w:p>
      <w:pPr>
        <w:widowControl/>
        <w:adjustRightInd w:val="0"/>
        <w:snapToGrid w:val="0"/>
        <w:spacing w:line="560" w:lineRule="exact"/>
        <w:ind w:left="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申报企业为取得本次医用耗材价格谈判产品范围内相关产品合法资质的医疗器械注册人（代理人）。其中，境外医疗器械注册人（代理人）应当指定我国境内企业法人协助其履行相应的法律义务，委托其作为申报企业</w:t>
      </w:r>
      <w:r>
        <w:rPr>
          <w:rFonts w:ascii="仿宋_GB2312" w:hAnsi="仿宋_GB2312" w:eastAsia="仿宋_GB2312" w:cs="仿宋_GB2312"/>
          <w:sz w:val="32"/>
          <w:szCs w:val="32"/>
        </w:rPr>
        <w:t>。</w:t>
      </w:r>
    </w:p>
    <w:p>
      <w:pPr>
        <w:widowControl/>
        <w:adjustRightInd w:val="0"/>
        <w:snapToGrid w:val="0"/>
        <w:spacing w:line="560" w:lineRule="exact"/>
        <w:ind w:left="0"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2.申报企业应具有持续生产能力并承诺保障各中选产品对应所有规格型号在</w:t>
      </w:r>
      <w:r>
        <w:rPr>
          <w:rFonts w:hint="eastAsia" w:ascii="仿宋_GB2312" w:hAnsi="仿宋_GB2312" w:eastAsia="仿宋_GB2312" w:cs="仿宋_GB2312"/>
          <w:sz w:val="32"/>
          <w:szCs w:val="32"/>
        </w:rPr>
        <w:t>谈判结果执行周期</w:t>
      </w:r>
      <w:r>
        <w:rPr>
          <w:rFonts w:ascii="仿宋_GB2312" w:hAnsi="仿宋_GB2312" w:eastAsia="仿宋_GB2312" w:cs="仿宋_GB2312"/>
          <w:sz w:val="32"/>
          <w:szCs w:val="32"/>
        </w:rPr>
        <w:t>内满足医疗机构的采购需求。</w:t>
      </w:r>
    </w:p>
    <w:p>
      <w:pPr>
        <w:widowControl/>
        <w:adjustRightInd w:val="0"/>
        <w:snapToGrid w:val="0"/>
        <w:spacing w:line="560" w:lineRule="exact"/>
        <w:ind w:left="0"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3.申报企业应遵守《中华人民共和国专利法》《中华人民共和国反不正当竞争法》等相关法律法规，并承担相关法律责任。</w:t>
      </w:r>
    </w:p>
    <w:p>
      <w:pPr>
        <w:widowControl/>
        <w:adjustRightInd w:val="0"/>
        <w:snapToGrid w:val="0"/>
        <w:spacing w:line="560" w:lineRule="exact"/>
        <w:ind w:left="0"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申报企业</w:t>
      </w:r>
      <w:r>
        <w:rPr>
          <w:rFonts w:ascii="仿宋_GB2312" w:hAnsi="仿宋_GB2312" w:eastAsia="仿宋_GB2312" w:cs="仿宋_GB2312"/>
          <w:sz w:val="32"/>
          <w:szCs w:val="32"/>
        </w:rPr>
        <w:t>参加本次价格谈判活动前三年内，在医用耗材生产经营活动中无严重违法记录。</w:t>
      </w:r>
    </w:p>
    <w:p>
      <w:pPr>
        <w:widowControl/>
        <w:adjustRightInd w:val="0"/>
        <w:snapToGrid w:val="0"/>
        <w:spacing w:line="560" w:lineRule="exact"/>
        <w:ind w:left="0"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5.申报企业未被列入当前《全国医药价格和招采失信企业风险警示名单》。</w:t>
      </w:r>
    </w:p>
    <w:p>
      <w:pPr>
        <w:widowControl/>
        <w:adjustRightInd w:val="0"/>
        <w:snapToGrid w:val="0"/>
        <w:spacing w:line="560" w:lineRule="exact"/>
        <w:ind w:left="0"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受境外医疗器械注册人（代理人）委托的申报企业须持续持有覆盖整个采购周期的产品代理资格。</w:t>
      </w:r>
      <w:r>
        <w:rPr>
          <w:rFonts w:ascii="仿宋_GB2312" w:hAnsi="仿宋_GB2312" w:eastAsia="仿宋_GB2312" w:cs="仿宋_GB2312"/>
          <w:sz w:val="32"/>
          <w:szCs w:val="32"/>
        </w:rPr>
        <w:t>如在申报、</w:t>
      </w:r>
      <w:r>
        <w:rPr>
          <w:rFonts w:hint="eastAsia" w:ascii="仿宋_GB2312" w:hAnsi="仿宋_GB2312" w:eastAsia="仿宋_GB2312" w:cs="仿宋_GB2312"/>
          <w:sz w:val="32"/>
          <w:szCs w:val="32"/>
        </w:rPr>
        <w:t>谈判结果执行周期</w:t>
      </w:r>
      <w:r>
        <w:rPr>
          <w:rFonts w:ascii="仿宋_GB2312" w:hAnsi="仿宋_GB2312" w:eastAsia="仿宋_GB2312" w:cs="仿宋_GB2312"/>
          <w:sz w:val="32"/>
          <w:szCs w:val="32"/>
        </w:rPr>
        <w:t>内代理资格终止的，</w:t>
      </w:r>
      <w:r>
        <w:rPr>
          <w:rFonts w:hint="eastAsia" w:ascii="仿宋_GB2312" w:hAnsi="仿宋_GB2312" w:eastAsia="仿宋_GB2312" w:cs="仿宋_GB2312"/>
          <w:sz w:val="32"/>
          <w:szCs w:val="32"/>
        </w:rPr>
        <w:t>交易中心</w:t>
      </w:r>
      <w:r>
        <w:rPr>
          <w:rFonts w:ascii="仿宋_GB2312" w:hAnsi="仿宋_GB2312" w:eastAsia="仿宋_GB2312" w:cs="仿宋_GB2312"/>
          <w:sz w:val="32"/>
          <w:szCs w:val="32"/>
        </w:rPr>
        <w:t>可经上报医疗保障部门同意后取消其申报</w:t>
      </w:r>
      <w:r>
        <w:rPr>
          <w:rFonts w:hint="eastAsia" w:ascii="仿宋_GB2312" w:hAnsi="仿宋_GB2312" w:eastAsia="仿宋_GB2312" w:cs="仿宋_GB2312"/>
          <w:sz w:val="32"/>
          <w:szCs w:val="32"/>
        </w:rPr>
        <w:t>或者中选</w:t>
      </w:r>
      <w:r>
        <w:rPr>
          <w:rFonts w:ascii="仿宋_GB2312" w:hAnsi="仿宋_GB2312" w:eastAsia="仿宋_GB2312" w:cs="仿宋_GB2312"/>
          <w:sz w:val="32"/>
          <w:szCs w:val="32"/>
        </w:rPr>
        <w:t>资格，由此产生的一切经济和法律责任均由该企业自行承担。</w:t>
      </w:r>
    </w:p>
    <w:p>
      <w:pPr>
        <w:widowControl/>
        <w:adjustRightInd w:val="0"/>
        <w:snapToGrid w:val="0"/>
        <w:spacing w:line="560" w:lineRule="exact"/>
        <w:ind w:left="0"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7.同一医疗器械注册（备案）证的产品原则上不得委托不同企业进行申报。</w:t>
      </w:r>
    </w:p>
    <w:p>
      <w:pPr>
        <w:pStyle w:val="13"/>
        <w:widowControl/>
        <w:numPr>
          <w:ilvl w:val="0"/>
          <w:numId w:val="2"/>
        </w:numPr>
        <w:spacing w:line="560" w:lineRule="exact"/>
        <w:ind w:left="0" w:firstLine="640" w:firstLineChars="200"/>
        <w:jc w:val="both"/>
        <w:outlineLvl w:val="2"/>
        <w:rPr>
          <w:rFonts w:ascii="楷体_GB2312" w:hAnsi="楷体_GB2312" w:eastAsia="楷体_GB2312" w:cs="楷体_GB2312"/>
          <w:kern w:val="2"/>
          <w:sz w:val="32"/>
          <w:szCs w:val="32"/>
        </w:rPr>
      </w:pPr>
      <w:bookmarkStart w:id="25" w:name="_Toc12428"/>
      <w:bookmarkStart w:id="26" w:name="_Toc10102"/>
      <w:bookmarkStart w:id="27" w:name="_Toc9651"/>
      <w:bookmarkStart w:id="28" w:name="_Toc5556"/>
      <w:bookmarkStart w:id="29" w:name="_Toc7523"/>
      <w:r>
        <w:rPr>
          <w:rFonts w:ascii="楷体_GB2312" w:hAnsi="楷体_GB2312" w:eastAsia="楷体_GB2312" w:cs="楷体_GB2312"/>
          <w:kern w:val="2"/>
          <w:sz w:val="32"/>
          <w:szCs w:val="32"/>
        </w:rPr>
        <w:t>申报产品资格要求</w:t>
      </w:r>
      <w:bookmarkEnd w:id="25"/>
      <w:bookmarkEnd w:id="26"/>
      <w:bookmarkEnd w:id="27"/>
      <w:bookmarkEnd w:id="28"/>
      <w:bookmarkEnd w:id="29"/>
    </w:p>
    <w:p>
      <w:pPr>
        <w:widowControl/>
        <w:adjustRightInd w:val="0"/>
        <w:snapToGrid w:val="0"/>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申报产品是指在本次价格谈判产品范围内，并获得有效中华人民共和国医疗器械注册（备案）证的中心静脉导管（PICC）产品。</w:t>
      </w:r>
    </w:p>
    <w:p>
      <w:pPr>
        <w:widowControl/>
        <w:adjustRightInd w:val="0"/>
        <w:snapToGrid w:val="0"/>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一年（2021年7月1日至2022年6月30日期间，下同）在深圳地区公立医疗机构有单独采购（即单独价格）的导管鞘和超声探头穿刺架套件等附属产品亦应当作为申报产品进行申报；未获得有效中华人民共和国医疗器械注册（备案）证的导管鞘和超声探头穿刺架套件等附属产品不必单独申报；近一年在深圳地区公立医疗机构无单独采购（即单独价格）的导管鞘和超声探头穿刺架套件等附属产品亦不必单独申报。</w:t>
      </w:r>
    </w:p>
    <w:p>
      <w:pPr>
        <w:widowControl/>
        <w:adjustRightInd w:val="0"/>
        <w:snapToGrid w:val="0"/>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本次医用耗材价格谈判申报产品以深圳医用耗材阳光交易和监管平台（以下简称深圳阳光平台）基础库产品ID作为基础，并形成竞争单元。</w:t>
      </w:r>
    </w:p>
    <w:p>
      <w:pPr>
        <w:widowControl/>
        <w:adjustRightInd w:val="0"/>
        <w:snapToGrid w:val="0"/>
        <w:spacing w:line="560" w:lineRule="exact"/>
        <w:ind w:left="0"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涉及有效期的注册（备案）证等申报材料，必须在采购文件发布当日仍在有效期内。</w:t>
      </w:r>
    </w:p>
    <w:p>
      <w:pPr>
        <w:widowControl/>
        <w:adjustRightInd w:val="0"/>
        <w:snapToGrid w:val="0"/>
        <w:spacing w:line="560" w:lineRule="exact"/>
        <w:ind w:left="0"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申报产品须在深圳阳光平台维护</w:t>
      </w:r>
      <w:r>
        <w:rPr>
          <w:rFonts w:hint="eastAsia" w:ascii="仿宋_GB2312" w:hAnsi="仿宋_GB2312" w:eastAsia="仿宋_GB2312" w:cs="仿宋_GB2312"/>
          <w:sz w:val="32"/>
          <w:szCs w:val="32"/>
        </w:rPr>
        <w:t>国家医保医用耗材代码</w:t>
      </w:r>
      <w:r>
        <w:rPr>
          <w:rFonts w:ascii="仿宋_GB2312" w:hAnsi="仿宋_GB2312" w:eastAsia="仿宋_GB2312" w:cs="仿宋_GB2312"/>
          <w:sz w:val="32"/>
          <w:szCs w:val="32"/>
        </w:rPr>
        <w:t>，否则</w:t>
      </w:r>
      <w:r>
        <w:rPr>
          <w:rFonts w:hint="eastAsia" w:ascii="仿宋_GB2312" w:hAnsi="仿宋_GB2312" w:eastAsia="仿宋_GB2312" w:cs="仿宋_GB2312"/>
          <w:sz w:val="32"/>
          <w:szCs w:val="32"/>
        </w:rPr>
        <w:t>不可参与本次价格谈判，</w:t>
      </w:r>
      <w:r>
        <w:rPr>
          <w:rFonts w:ascii="仿宋_GB2312" w:hAnsi="仿宋_GB2312" w:eastAsia="仿宋_GB2312" w:cs="仿宋_GB2312"/>
          <w:sz w:val="32"/>
          <w:szCs w:val="32"/>
        </w:rPr>
        <w:t>由此引起的一切后果由申报企业自行负责。</w:t>
      </w:r>
    </w:p>
    <w:p>
      <w:pPr>
        <w:widowControl/>
        <w:adjustRightInd w:val="0"/>
        <w:snapToGrid w:val="0"/>
        <w:spacing w:line="560" w:lineRule="exact"/>
        <w:ind w:left="0"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申报产品应当符合国家有关部门的质量标准要求，并按国家有关部门要求组织生产。</w:t>
      </w:r>
    </w:p>
    <w:p>
      <w:pPr>
        <w:pStyle w:val="13"/>
        <w:widowControl/>
        <w:numPr>
          <w:ilvl w:val="0"/>
          <w:numId w:val="2"/>
        </w:numPr>
        <w:spacing w:line="560" w:lineRule="exact"/>
        <w:ind w:left="0" w:firstLine="640" w:firstLineChars="200"/>
        <w:jc w:val="both"/>
        <w:outlineLvl w:val="2"/>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形成竞争单元</w:t>
      </w:r>
    </w:p>
    <w:p>
      <w:pPr>
        <w:pStyle w:val="2"/>
        <w:widowControl/>
        <w:autoSpaceDE/>
        <w:autoSpaceDN/>
        <w:spacing w:line="560" w:lineRule="exact"/>
        <w:ind w:firstLine="640"/>
        <w:jc w:val="both"/>
        <w:rPr>
          <w:rFonts w:ascii="仿宋_GB2312" w:hAnsi="仿宋_GB2312" w:eastAsia="仿宋_GB2312" w:cs="仿宋_GB2312"/>
          <w:color w:val="auto"/>
          <w:sz w:val="32"/>
          <w:szCs w:val="32"/>
        </w:rPr>
      </w:pPr>
      <w:r>
        <w:rPr>
          <w:rFonts w:hint="eastAsia"/>
          <w:color w:val="auto"/>
        </w:rPr>
        <w:t xml:space="preserve"> </w:t>
      </w:r>
      <w:r>
        <w:rPr>
          <w:rFonts w:hint="eastAsia" w:ascii="仿宋_GB2312" w:hAnsi="仿宋_GB2312" w:eastAsia="仿宋_GB2312" w:cs="仿宋_GB2312"/>
          <w:color w:val="auto"/>
          <w:sz w:val="32"/>
          <w:szCs w:val="32"/>
        </w:rPr>
        <w:t>中心静脉导管（PICC）竞争单元均必须包含经外周置入中心静脉导管和完成植入导管基本必需的附件，包括但不限于导管鞘、超声探头穿刺架套件、护理包等。</w:t>
      </w:r>
    </w:p>
    <w:bookmarkEnd w:id="24"/>
    <w:p>
      <w:pPr>
        <w:widowControl/>
        <w:numPr>
          <w:ilvl w:val="255"/>
          <w:numId w:val="0"/>
        </w:numPr>
        <w:spacing w:line="560" w:lineRule="exact"/>
        <w:ind w:firstLine="640" w:firstLineChars="200"/>
        <w:jc w:val="both"/>
        <w:outlineLvl w:val="1"/>
        <w:rPr>
          <w:rFonts w:ascii="楷体_GB2312" w:eastAsia="楷体_GB2312" w:cs="楷体_GB2312"/>
          <w:sz w:val="32"/>
          <w:szCs w:val="32"/>
          <w:shd w:val="clear" w:color="auto" w:fill="FFFFFF"/>
        </w:rPr>
      </w:pPr>
      <w:bookmarkStart w:id="30" w:name="_Toc19562"/>
      <w:bookmarkStart w:id="31" w:name="_Toc1820"/>
      <w:bookmarkStart w:id="32" w:name="_Toc27540"/>
      <w:r>
        <w:rPr>
          <w:rFonts w:hint="eastAsia" w:ascii="黑体" w:hAnsi="黑体" w:eastAsia="黑体" w:cs="黑体"/>
          <w:kern w:val="2"/>
          <w:sz w:val="32"/>
          <w:szCs w:val="32"/>
        </w:rPr>
        <w:t>五、采购文件获取方式</w:t>
      </w:r>
      <w:bookmarkEnd w:id="30"/>
      <w:bookmarkEnd w:id="31"/>
      <w:bookmarkEnd w:id="32"/>
    </w:p>
    <w:p>
      <w:pPr>
        <w:widowControl/>
        <w:adjustRightInd w:val="0"/>
        <w:snapToGrid w:val="0"/>
        <w:spacing w:line="560" w:lineRule="exact"/>
        <w:ind w:left="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通过深圳公共资源交易网（http://www.szggzy.com/）医用耗材交易板块下载相关文件。</w:t>
      </w:r>
    </w:p>
    <w:p>
      <w:pPr>
        <w:widowControl/>
        <w:numPr>
          <w:ilvl w:val="255"/>
          <w:numId w:val="0"/>
        </w:numPr>
        <w:spacing w:line="560" w:lineRule="exact"/>
        <w:ind w:left="480" w:leftChars="200" w:firstLine="320" w:firstLineChars="100"/>
        <w:jc w:val="both"/>
        <w:outlineLvl w:val="1"/>
        <w:rPr>
          <w:rFonts w:ascii="黑体" w:hAnsi="黑体" w:eastAsia="黑体" w:cs="黑体"/>
          <w:kern w:val="2"/>
          <w:sz w:val="32"/>
          <w:szCs w:val="32"/>
        </w:rPr>
      </w:pPr>
      <w:bookmarkStart w:id="33" w:name="_Toc10817"/>
      <w:bookmarkStart w:id="34" w:name="_Toc5612"/>
      <w:bookmarkStart w:id="35" w:name="_Toc16734"/>
      <w:r>
        <w:rPr>
          <w:rFonts w:hint="eastAsia" w:ascii="黑体" w:hAnsi="黑体" w:eastAsia="黑体" w:cs="黑体"/>
          <w:kern w:val="2"/>
          <w:sz w:val="32"/>
          <w:szCs w:val="32"/>
        </w:rPr>
        <w:t>六、报名方式</w:t>
      </w:r>
      <w:bookmarkEnd w:id="33"/>
      <w:bookmarkEnd w:id="34"/>
      <w:bookmarkEnd w:id="35"/>
    </w:p>
    <w:p>
      <w:pPr>
        <w:widowControl/>
        <w:adjustRightInd w:val="0"/>
        <w:snapToGrid w:val="0"/>
        <w:spacing w:line="560" w:lineRule="exact"/>
        <w:ind w:left="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（一）申报企业在</w:t>
      </w:r>
      <w:r>
        <w:rPr>
          <w:rFonts w:ascii="仿宋_GB2312" w:hAnsi="宋体" w:eastAsia="仿宋_GB2312" w:cs="仿宋_GB2312"/>
          <w:i w:val="0"/>
          <w:iCs w:val="0"/>
          <w:caps w:val="0"/>
          <w:color w:val="000000"/>
          <w:spacing w:val="0"/>
          <w:sz w:val="31"/>
          <w:szCs w:val="31"/>
        </w:rPr>
        <w:t>2022年</w:t>
      </w:r>
      <w:r>
        <w:rPr>
          <w:rFonts w:hint="eastAsia" w:ascii="仿宋_GB2312" w:hAnsi="宋体" w:eastAsia="仿宋_GB2312" w:cs="仿宋_GB2312"/>
          <w:i w:val="0"/>
          <w:iCs w:val="0"/>
          <w:caps w:val="0"/>
          <w:color w:val="000000"/>
          <w:spacing w:val="0"/>
          <w:sz w:val="31"/>
          <w:szCs w:val="31"/>
          <w:shd w:val="clear" w:fill="FFFFFF"/>
        </w:rPr>
        <w:t>9月19日16时</w:t>
      </w:r>
      <w:r>
        <w:rPr>
          <w:rFonts w:hint="eastAsia" w:ascii="仿宋_GB2312" w:hAnsi="仿宋_GB2312" w:eastAsia="仿宋_GB2312" w:cs="仿宋_GB2312"/>
          <w:sz w:val="32"/>
          <w:szCs w:val="32"/>
        </w:rPr>
        <w:t>之前通过深圳阳光平台相关功能模块进行正式信息申报。正式信息申报分三个步骤：</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将本采购文件附件1“承诺函”加盖公章后上传。</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维护产品信息、价格信息及其他信息并上传。价格信息是指深圳地区5家公立医疗机构的最低销售价格信息（2</w:t>
      </w:r>
      <w:r>
        <w:rPr>
          <w:rFonts w:ascii="仿宋_GB2312" w:hAnsi="仿宋_GB2312" w:eastAsia="仿宋_GB2312" w:cs="仿宋_GB2312"/>
          <w:sz w:val="32"/>
          <w:szCs w:val="32"/>
        </w:rPr>
        <w:t>021</w:t>
      </w:r>
      <w:r>
        <w:rPr>
          <w:rFonts w:hint="eastAsia" w:ascii="仿宋_GB2312" w:hAnsi="仿宋_GB2312" w:eastAsia="仿宋_GB2312" w:cs="仿宋_GB2312"/>
          <w:sz w:val="32"/>
          <w:szCs w:val="32"/>
        </w:rPr>
        <w:t>年7月1日至2</w:t>
      </w:r>
      <w:r>
        <w:rPr>
          <w:rFonts w:ascii="仿宋_GB2312" w:hAnsi="仿宋_GB2312" w:eastAsia="仿宋_GB2312" w:cs="仿宋_GB2312"/>
          <w:sz w:val="32"/>
          <w:szCs w:val="32"/>
        </w:rPr>
        <w:t>022</w:t>
      </w:r>
      <w:r>
        <w:rPr>
          <w:rFonts w:hint="eastAsia" w:ascii="仿宋_GB2312" w:hAnsi="仿宋_GB2312" w:eastAsia="仿宋_GB2312" w:cs="仿宋_GB2312"/>
          <w:sz w:val="32"/>
          <w:szCs w:val="32"/>
        </w:rPr>
        <w:t>年6月30日期间），要求提供相应合同或者发票等证明材料，证明资料应当包含销售价格、医疗机构等主要信息并作明显标注。如不足5家的，则补充填写深圳市外三级公立医疗机构的最低销售价格信息直至5家为止。仍不足5家的，则提供相关承诺（详见系统无价格承诺函）。</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选择经审核通过后的申报产品进行报名操作。</w:t>
      </w:r>
    </w:p>
    <w:p>
      <w:pPr>
        <w:widowControl/>
        <w:adjustRightInd w:val="0"/>
        <w:snapToGrid w:val="0"/>
        <w:spacing w:line="560" w:lineRule="exact"/>
        <w:ind w:left="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（二）允许同一申报产品有多个规格型号，但在正式申报时应当予以明确。</w:t>
      </w:r>
    </w:p>
    <w:p>
      <w:pPr>
        <w:widowControl/>
        <w:adjustRightInd w:val="0"/>
        <w:snapToGrid w:val="0"/>
        <w:spacing w:line="560" w:lineRule="exact"/>
        <w:ind w:left="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（三）申报企业按形成的竞争单元进行报名，竞争单元内同一申报产品下有多个规格型号的，均纳入报名范围。</w:t>
      </w:r>
    </w:p>
    <w:p>
      <w:pPr>
        <w:widowControl/>
        <w:adjustRightInd w:val="0"/>
        <w:snapToGrid w:val="0"/>
        <w:spacing w:line="560" w:lineRule="exact"/>
        <w:ind w:left="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ascii="仿宋_GB2312" w:hAnsi="仿宋_GB2312" w:eastAsia="仿宋_GB2312" w:cs="仿宋_GB2312"/>
          <w:sz w:val="32"/>
          <w:szCs w:val="32"/>
        </w:rPr>
        <w:t>未按时</w:t>
      </w:r>
      <w:r>
        <w:rPr>
          <w:rFonts w:hint="eastAsia" w:ascii="仿宋_GB2312" w:hAnsi="仿宋_GB2312" w:eastAsia="仿宋_GB2312" w:cs="仿宋_GB2312"/>
          <w:sz w:val="32"/>
          <w:szCs w:val="32"/>
        </w:rPr>
        <w:t>进行正式信息申报</w:t>
      </w:r>
      <w:r>
        <w:rPr>
          <w:rFonts w:ascii="仿宋_GB2312" w:hAnsi="仿宋_GB2312" w:eastAsia="仿宋_GB2312" w:cs="仿宋_GB2312"/>
          <w:sz w:val="32"/>
          <w:szCs w:val="32"/>
        </w:rPr>
        <w:t>的，后果由企业自行承担。</w:t>
      </w:r>
      <w:bookmarkStart w:id="36" w:name="_Hlk103506421"/>
      <w:r>
        <w:rPr>
          <w:rFonts w:hint="eastAsia" w:ascii="仿宋_GB2312" w:hAnsi="仿宋_GB2312" w:eastAsia="仿宋_GB2312" w:cs="仿宋_GB2312"/>
          <w:sz w:val="32"/>
          <w:szCs w:val="32"/>
        </w:rPr>
        <w:t>交易中心将对申报企业、产品和形成的</w:t>
      </w:r>
      <w:r>
        <w:rPr>
          <w:rFonts w:hint="eastAsia" w:ascii="仿宋_GB2312" w:eastAsia="仿宋_GB2312"/>
          <w:sz w:val="32"/>
          <w:szCs w:val="32"/>
        </w:rPr>
        <w:t>竞争单元</w:t>
      </w:r>
      <w:r>
        <w:rPr>
          <w:rFonts w:hint="eastAsia" w:ascii="仿宋_GB2312" w:hAnsi="仿宋_GB2312" w:eastAsia="仿宋_GB2312" w:cs="仿宋_GB2312"/>
          <w:sz w:val="32"/>
          <w:szCs w:val="32"/>
        </w:rPr>
        <w:t>进行审核，审核通过后的申报企业</w:t>
      </w:r>
      <w:r>
        <w:rPr>
          <w:rFonts w:hint="eastAsia" w:ascii="仿宋_GB2312" w:eastAsia="仿宋_GB2312"/>
          <w:sz w:val="32"/>
          <w:szCs w:val="32"/>
        </w:rPr>
        <w:t>、</w:t>
      </w:r>
      <w:r>
        <w:rPr>
          <w:rFonts w:hint="eastAsia" w:ascii="仿宋_GB2312" w:hAnsi="仿宋_GB2312" w:eastAsia="仿宋_GB2312" w:cs="仿宋_GB2312"/>
          <w:sz w:val="32"/>
          <w:szCs w:val="32"/>
        </w:rPr>
        <w:t>产品和形成的</w:t>
      </w:r>
      <w:r>
        <w:rPr>
          <w:rFonts w:hint="eastAsia" w:ascii="仿宋_GB2312" w:eastAsia="仿宋_GB2312"/>
          <w:sz w:val="32"/>
          <w:szCs w:val="32"/>
        </w:rPr>
        <w:t>竞争单元</w:t>
      </w:r>
      <w:r>
        <w:rPr>
          <w:rFonts w:hint="eastAsia" w:ascii="仿宋_GB2312" w:hAnsi="仿宋_GB2312" w:eastAsia="仿宋_GB2312" w:cs="仿宋_GB2312"/>
          <w:sz w:val="32"/>
          <w:szCs w:val="32"/>
        </w:rPr>
        <w:t>方能参与价格谈判。</w:t>
      </w:r>
      <w:bookmarkEnd w:id="36"/>
    </w:p>
    <w:p>
      <w:pPr>
        <w:widowControl/>
        <w:adjustRightInd w:val="0"/>
        <w:snapToGrid w:val="0"/>
        <w:spacing w:line="560" w:lineRule="exact"/>
        <w:ind w:left="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（五）《正式信息申报详细操作指引》见本公告附件。</w:t>
      </w:r>
    </w:p>
    <w:p>
      <w:pPr>
        <w:widowControl/>
        <w:spacing w:line="560" w:lineRule="exact"/>
        <w:ind w:left="0" w:firstLine="640" w:firstLineChars="200"/>
        <w:jc w:val="both"/>
        <w:outlineLvl w:val="1"/>
        <w:rPr>
          <w:rFonts w:ascii="黑体" w:hAnsi="黑体" w:eastAsia="黑体" w:cs="黑体"/>
          <w:kern w:val="2"/>
          <w:sz w:val="32"/>
          <w:szCs w:val="32"/>
        </w:rPr>
      </w:pPr>
      <w:bookmarkStart w:id="37" w:name="_Toc7497"/>
      <w:bookmarkStart w:id="38" w:name="_Toc5914"/>
      <w:bookmarkStart w:id="39" w:name="_Toc6009"/>
      <w:r>
        <w:rPr>
          <w:rFonts w:hint="eastAsia" w:ascii="黑体" w:hAnsi="黑体" w:eastAsia="黑体" w:cs="黑体"/>
          <w:kern w:val="2"/>
          <w:sz w:val="32"/>
          <w:szCs w:val="32"/>
        </w:rPr>
        <w:t>七、谈判方式和时间</w:t>
      </w:r>
      <w:bookmarkEnd w:id="37"/>
      <w:bookmarkEnd w:id="38"/>
      <w:bookmarkEnd w:id="39"/>
    </w:p>
    <w:p>
      <w:pPr>
        <w:widowControl/>
        <w:adjustRightInd w:val="0"/>
        <w:snapToGrid w:val="0"/>
        <w:spacing w:line="560" w:lineRule="exact"/>
        <w:ind w:left="0" w:firstLine="640" w:firstLineChars="200"/>
        <w:jc w:val="both"/>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谈判企业按报价通知（另行发布）要求</w:t>
      </w:r>
      <w:r>
        <w:rPr>
          <w:rFonts w:hint="eastAsia" w:ascii="仿宋_GB2312" w:eastAsia="仿宋_GB2312" w:hAnsiTheme="minorHAnsi" w:cstheme="minorBidi"/>
          <w:b/>
          <w:bCs/>
          <w:kern w:val="2"/>
          <w:sz w:val="32"/>
          <w:szCs w:val="32"/>
          <w:lang w:val="en-US" w:eastAsia="zh-CN"/>
        </w:rPr>
        <w:t>参与现场谈判</w:t>
      </w:r>
      <w:r>
        <w:rPr>
          <w:rFonts w:hint="eastAsia" w:ascii="仿宋_GB2312" w:eastAsia="仿宋_GB2312" w:hAnsiTheme="minorHAnsi" w:cstheme="minorBidi"/>
          <w:kern w:val="2"/>
          <w:sz w:val="32"/>
          <w:szCs w:val="32"/>
        </w:rPr>
        <w:t>。</w:t>
      </w:r>
    </w:p>
    <w:p>
      <w:pPr>
        <w:widowControl/>
        <w:spacing w:line="560" w:lineRule="exact"/>
        <w:ind w:left="0" w:firstLine="640" w:firstLineChars="200"/>
        <w:jc w:val="both"/>
        <w:outlineLvl w:val="1"/>
      </w:pPr>
      <w:bookmarkStart w:id="40" w:name="_Toc18084"/>
      <w:bookmarkStart w:id="41" w:name="_Toc10918"/>
      <w:bookmarkStart w:id="42" w:name="_Toc1417"/>
      <w:r>
        <w:rPr>
          <w:rFonts w:hint="eastAsia" w:ascii="黑体" w:hAnsi="黑体" w:eastAsia="黑体" w:cs="黑体"/>
          <w:kern w:val="2"/>
          <w:sz w:val="32"/>
          <w:szCs w:val="32"/>
        </w:rPr>
        <w:t>八、信息公开方式</w:t>
      </w:r>
      <w:bookmarkEnd w:id="40"/>
      <w:bookmarkEnd w:id="41"/>
      <w:bookmarkEnd w:id="42"/>
    </w:p>
    <w:p>
      <w:pPr>
        <w:widowControl/>
        <w:adjustRightInd w:val="0"/>
        <w:snapToGrid w:val="0"/>
        <w:spacing w:line="560" w:lineRule="exact"/>
        <w:ind w:left="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通过深圳公共资源交易网（http://www.szggzy.com/）发布本次价格谈判相关通知（公告），内容包括但不限于竞争单元、产品分类信息公开、谈判基准价信息公开和模拟报价等，敬请留意。</w:t>
      </w:r>
    </w:p>
    <w:p>
      <w:pPr>
        <w:widowControl/>
        <w:spacing w:line="560" w:lineRule="exact"/>
        <w:ind w:left="0" w:firstLine="640" w:firstLineChars="200"/>
        <w:jc w:val="both"/>
        <w:outlineLvl w:val="1"/>
        <w:rPr>
          <w:rFonts w:ascii="黑体" w:hAnsi="黑体" w:eastAsia="黑体" w:cs="黑体"/>
          <w:kern w:val="2"/>
          <w:sz w:val="32"/>
          <w:szCs w:val="32"/>
        </w:rPr>
      </w:pPr>
      <w:bookmarkStart w:id="43" w:name="_Toc27362"/>
      <w:bookmarkStart w:id="44" w:name="_Toc9944"/>
      <w:bookmarkStart w:id="45" w:name="_Toc17892"/>
      <w:r>
        <w:rPr>
          <w:rFonts w:hint="eastAsia" w:ascii="黑体" w:hAnsi="黑体" w:eastAsia="黑体" w:cs="黑体"/>
          <w:kern w:val="2"/>
          <w:sz w:val="32"/>
          <w:szCs w:val="32"/>
        </w:rPr>
        <w:t>九、联系方式</w:t>
      </w:r>
      <w:bookmarkEnd w:id="43"/>
      <w:bookmarkEnd w:id="44"/>
      <w:bookmarkEnd w:id="45"/>
    </w:p>
    <w:p>
      <w:pPr>
        <w:widowControl/>
        <w:adjustRightInd w:val="0"/>
        <w:snapToGrid w:val="0"/>
        <w:spacing w:line="560" w:lineRule="exact"/>
        <w:ind w:left="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名称：深圳公共资源交易中心</w:t>
      </w:r>
    </w:p>
    <w:p>
      <w:pPr>
        <w:widowControl/>
        <w:adjustRightInd w:val="0"/>
        <w:snapToGrid w:val="0"/>
        <w:spacing w:line="560" w:lineRule="exact"/>
        <w:ind w:left="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地址：深圳市南山区高新区南区沙河西路1809号深圳湾科技生态园10栋Ｂ座3楼 深圳阳光平台客服中心</w:t>
      </w:r>
    </w:p>
    <w:p>
      <w:pPr>
        <w:widowControl/>
        <w:adjustRightInd w:val="0"/>
        <w:snapToGrid w:val="0"/>
        <w:spacing w:line="560" w:lineRule="exact"/>
        <w:ind w:left="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电话：</w:t>
      </w:r>
      <w:r>
        <w:rPr>
          <w:rFonts w:hint="eastAsia" w:ascii="仿宋_GB2312" w:hAnsi="仿宋" w:eastAsia="仿宋_GB2312"/>
          <w:sz w:val="32"/>
          <w:szCs w:val="32"/>
        </w:rPr>
        <w:t>0755-88653268</w:t>
      </w:r>
    </w:p>
    <w:p>
      <w:pPr>
        <w:widowControl/>
        <w:spacing w:line="560" w:lineRule="exact"/>
        <w:ind w:left="0" w:firstLine="640" w:firstLineChars="200"/>
        <w:jc w:val="both"/>
        <w:outlineLvl w:val="1"/>
        <w:rPr>
          <w:rFonts w:ascii="黑体" w:hAnsi="黑体" w:eastAsia="黑体" w:cs="黑体"/>
          <w:kern w:val="2"/>
          <w:sz w:val="32"/>
          <w:szCs w:val="32"/>
        </w:rPr>
      </w:pPr>
      <w:bookmarkStart w:id="46" w:name="_Toc8739"/>
      <w:bookmarkStart w:id="47" w:name="_Toc20005"/>
      <w:bookmarkStart w:id="48" w:name="_Toc17776"/>
      <w:r>
        <w:rPr>
          <w:rFonts w:hint="eastAsia" w:ascii="黑体" w:hAnsi="黑体" w:eastAsia="黑体" w:cs="黑体"/>
          <w:kern w:val="2"/>
          <w:sz w:val="32"/>
          <w:szCs w:val="32"/>
        </w:rPr>
        <w:t>十、其他</w:t>
      </w:r>
      <w:bookmarkEnd w:id="46"/>
      <w:bookmarkEnd w:id="47"/>
      <w:bookmarkEnd w:id="48"/>
    </w:p>
    <w:p>
      <w:pPr>
        <w:widowControl/>
        <w:adjustRightInd w:val="0"/>
        <w:snapToGrid w:val="0"/>
        <w:spacing w:line="560" w:lineRule="exact"/>
        <w:ind w:left="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（一）2021年7月1日至2022年6月30日期间在深圳公立医疗机构有采购记录的中心静脉导管（PICC）产品纳入本次价格谈判邀请范围，</w:t>
      </w:r>
      <w:bookmarkStart w:id="49" w:name="_Hlk110095722"/>
      <w:r>
        <w:rPr>
          <w:rFonts w:hint="eastAsia" w:ascii="仿宋_GB2312" w:hAnsi="仿宋_GB2312" w:eastAsia="仿宋_GB2312" w:cs="仿宋_GB2312"/>
          <w:sz w:val="32"/>
          <w:szCs w:val="32"/>
        </w:rPr>
        <w:t>未纳入邀请范围但在本次谈判范围内的产品亦可参与。</w:t>
      </w:r>
      <w:bookmarkEnd w:id="49"/>
    </w:p>
    <w:p>
      <w:pPr>
        <w:widowControl/>
        <w:adjustRightInd w:val="0"/>
        <w:snapToGrid w:val="0"/>
        <w:spacing w:line="560" w:lineRule="exact"/>
        <w:ind w:left="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（二）如遇不可抗力因素造成相关工作无法进行的，经上报医疗保障部门同意后，交易中心可宣布相关工作暂停，并择时再行开展。</w:t>
      </w:r>
    </w:p>
    <w:p>
      <w:pPr>
        <w:widowControl/>
        <w:adjustRightInd w:val="0"/>
        <w:snapToGrid w:val="0"/>
        <w:spacing w:line="560" w:lineRule="exact"/>
        <w:ind w:left="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（三）本次价格谈判结果执行时间等事项</w:t>
      </w:r>
      <w:r>
        <w:rPr>
          <w:rFonts w:hint="eastAsia" w:ascii="仿宋_GB2312" w:hAnsi="仿宋_GB2312" w:eastAsia="仿宋_GB2312" w:cs="仿宋_GB2312"/>
          <w:sz w:val="32"/>
          <w:szCs w:val="32"/>
          <w:highlight w:val="none"/>
        </w:rPr>
        <w:t>由</w:t>
      </w:r>
      <w:r>
        <w:rPr>
          <w:rFonts w:hint="eastAsia" w:ascii="仿宋_GB2312" w:hAnsi="仿宋_GB2312" w:eastAsia="仿宋_GB2312" w:cs="仿宋_GB2312"/>
          <w:sz w:val="32"/>
          <w:szCs w:val="32"/>
          <w:highlight w:val="none"/>
          <w:lang w:eastAsia="zh-CN"/>
        </w:rPr>
        <w:t>医疗保障部门</w:t>
      </w:r>
      <w:r>
        <w:rPr>
          <w:rFonts w:hint="eastAsia" w:ascii="仿宋_GB2312" w:hAnsi="仿宋_GB2312" w:eastAsia="仿宋_GB2312" w:cs="仿宋_GB2312"/>
          <w:sz w:val="32"/>
          <w:szCs w:val="32"/>
          <w:highlight w:val="none"/>
        </w:rPr>
        <w:t>另</w:t>
      </w:r>
      <w:r>
        <w:rPr>
          <w:rFonts w:hint="eastAsia" w:ascii="仿宋_GB2312" w:hAnsi="仿宋_GB2312" w:eastAsia="仿宋_GB2312" w:cs="仿宋_GB2312"/>
          <w:sz w:val="32"/>
          <w:szCs w:val="32"/>
        </w:rPr>
        <w:t>行公布。</w:t>
      </w:r>
    </w:p>
    <w:p>
      <w:pPr>
        <w:widowControl/>
        <w:rPr>
          <w:rFonts w:ascii="方正小标宋简体" w:hAnsi="方正小标宋简体" w:eastAsia="方正小标宋简体" w:cs="方正小标宋简体"/>
          <w:kern w:val="2"/>
        </w:rPr>
      </w:pPr>
      <w:bookmarkStart w:id="50" w:name="_Toc31536"/>
      <w:bookmarkStart w:id="51" w:name="_Toc24996"/>
      <w:bookmarkStart w:id="52" w:name="_Toc16036"/>
      <w:bookmarkStart w:id="53" w:name="_Toc10997"/>
      <w:r>
        <w:rPr>
          <w:rFonts w:hint="eastAsia" w:ascii="方正小标宋简体" w:hAnsi="方正小标宋简体" w:eastAsia="方正小标宋简体" w:cs="方正小标宋简体"/>
          <w:kern w:val="2"/>
        </w:rPr>
        <w:br w:type="page"/>
      </w:r>
    </w:p>
    <w:p>
      <w:pPr>
        <w:pStyle w:val="3"/>
        <w:widowControl/>
        <w:spacing w:after="163" w:afterLines="50" w:line="560" w:lineRule="exact"/>
        <w:ind w:left="0"/>
        <w:jc w:val="center"/>
        <w:rPr>
          <w:rFonts w:ascii="黑体" w:hAnsi="黑体" w:eastAsia="黑体" w:cs="黑体"/>
          <w:kern w:val="2"/>
          <w:sz w:val="32"/>
          <w:szCs w:val="32"/>
        </w:rPr>
      </w:pPr>
      <w:r>
        <w:rPr>
          <w:rFonts w:hint="eastAsia" w:ascii="方正小标宋简体" w:hAnsi="方正小标宋简体" w:eastAsia="方正小标宋简体" w:cs="方正小标宋简体"/>
          <w:b w:val="0"/>
          <w:bCs w:val="0"/>
          <w:kern w:val="2"/>
        </w:rPr>
        <w:t>第二部分 谈判企业须知</w:t>
      </w:r>
      <w:bookmarkEnd w:id="50"/>
      <w:bookmarkEnd w:id="51"/>
      <w:bookmarkEnd w:id="52"/>
    </w:p>
    <w:p>
      <w:pPr>
        <w:widowControl/>
        <w:spacing w:line="560" w:lineRule="exact"/>
        <w:ind w:left="0" w:firstLine="640" w:firstLineChars="200"/>
        <w:jc w:val="both"/>
        <w:outlineLvl w:val="1"/>
        <w:rPr>
          <w:rFonts w:ascii="黑体" w:hAnsi="黑体" w:eastAsia="黑体" w:cs="黑体"/>
          <w:kern w:val="2"/>
          <w:sz w:val="32"/>
          <w:szCs w:val="32"/>
        </w:rPr>
      </w:pPr>
      <w:bookmarkStart w:id="54" w:name="_Toc13252"/>
      <w:bookmarkStart w:id="55" w:name="_Toc31190"/>
      <w:r>
        <w:rPr>
          <w:rFonts w:hint="eastAsia" w:ascii="黑体" w:hAnsi="黑体" w:eastAsia="黑体" w:cs="黑体"/>
          <w:kern w:val="2"/>
          <w:sz w:val="32"/>
          <w:szCs w:val="32"/>
        </w:rPr>
        <w:t>一、竞争单元分类、谈判基准价及谈判目标价</w:t>
      </w:r>
      <w:bookmarkEnd w:id="54"/>
    </w:p>
    <w:p>
      <w:pPr>
        <w:pStyle w:val="13"/>
        <w:widowControl/>
        <w:numPr>
          <w:ilvl w:val="255"/>
          <w:numId w:val="0"/>
        </w:numPr>
        <w:spacing w:line="560" w:lineRule="exact"/>
        <w:ind w:firstLine="640" w:firstLineChars="200"/>
        <w:jc w:val="both"/>
        <w:outlineLvl w:val="2"/>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（一）竞争单元分类</w:t>
      </w:r>
    </w:p>
    <w:p>
      <w:pPr>
        <w:pStyle w:val="6"/>
        <w:widowControl/>
        <w:spacing w:line="560" w:lineRule="exact"/>
        <w:ind w:left="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根据中心静脉导管（PICC）产品材质属性、结构特征和功能产地等因素，结合</w:t>
      </w:r>
      <w:bookmarkStart w:id="56" w:name="_Hlk103347913"/>
      <w:r>
        <w:rPr>
          <w:rFonts w:hint="eastAsia" w:ascii="仿宋_GB2312" w:hAnsi="仿宋_GB2312" w:eastAsia="仿宋_GB2312" w:cs="仿宋_GB2312"/>
          <w:sz w:val="32"/>
          <w:szCs w:val="32"/>
        </w:rPr>
        <w:t>深圳阳光平台中心静脉导管（PICC）数据等对报名成功的竞争单元进行分</w:t>
      </w:r>
      <w:bookmarkEnd w:id="56"/>
      <w:r>
        <w:rPr>
          <w:rFonts w:hint="eastAsia" w:ascii="仿宋_GB2312" w:hAnsi="仿宋_GB2312" w:eastAsia="仿宋_GB2312" w:cs="仿宋_GB2312"/>
          <w:sz w:val="32"/>
          <w:szCs w:val="32"/>
        </w:rPr>
        <w:t>类。</w:t>
      </w:r>
    </w:p>
    <w:p>
      <w:pPr>
        <w:pStyle w:val="13"/>
        <w:widowControl/>
        <w:numPr>
          <w:ilvl w:val="255"/>
          <w:numId w:val="0"/>
        </w:numPr>
        <w:spacing w:line="560" w:lineRule="exact"/>
        <w:ind w:firstLine="640" w:firstLineChars="200"/>
        <w:jc w:val="both"/>
        <w:outlineLvl w:val="2"/>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（二）</w:t>
      </w:r>
      <w:r>
        <w:rPr>
          <w:rFonts w:hint="eastAsia" w:ascii="楷体_GB2312" w:hAnsi="楷体_GB2312" w:eastAsia="楷体_GB2312" w:cs="楷体_GB2312"/>
          <w:sz w:val="32"/>
          <w:szCs w:val="32"/>
        </w:rPr>
        <w:t>确定竞争单元</w:t>
      </w:r>
      <w:r>
        <w:rPr>
          <w:rFonts w:hint="eastAsia" w:ascii="楷体_GB2312" w:hAnsi="楷体_GB2312" w:eastAsia="楷体_GB2312" w:cs="楷体_GB2312"/>
          <w:kern w:val="2"/>
          <w:sz w:val="32"/>
          <w:szCs w:val="32"/>
        </w:rPr>
        <w:t>谈判基准价</w:t>
      </w:r>
    </w:p>
    <w:p>
      <w:pPr>
        <w:pStyle w:val="6"/>
        <w:widowControl/>
        <w:spacing w:line="560" w:lineRule="exact"/>
        <w:ind w:left="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原则上以申报产品的平台挂网参考限价和医疗机构现行最低采购价的低值作为产品基准价。</w:t>
      </w:r>
    </w:p>
    <w:p>
      <w:pPr>
        <w:pStyle w:val="6"/>
        <w:widowControl/>
        <w:spacing w:line="560" w:lineRule="exact"/>
        <w:ind w:left="0"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竞争单元内申报产品基准价确定后，各申报产品基准价之和作为竞争单元的谈判基准价（P0）。</w:t>
      </w:r>
    </w:p>
    <w:p>
      <w:pPr>
        <w:pStyle w:val="13"/>
        <w:widowControl/>
        <w:numPr>
          <w:ilvl w:val="255"/>
          <w:numId w:val="0"/>
        </w:numPr>
        <w:spacing w:line="560" w:lineRule="exact"/>
        <w:ind w:firstLine="640" w:firstLineChars="200"/>
        <w:jc w:val="both"/>
        <w:outlineLvl w:val="2"/>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（三）</w:t>
      </w:r>
      <w:r>
        <w:rPr>
          <w:rFonts w:hint="eastAsia" w:ascii="楷体_GB2312" w:hAnsi="楷体_GB2312" w:eastAsia="楷体_GB2312" w:cs="楷体_GB2312"/>
          <w:sz w:val="32"/>
          <w:szCs w:val="32"/>
        </w:rPr>
        <w:t>确定竞争单元</w:t>
      </w:r>
      <w:r>
        <w:rPr>
          <w:rFonts w:hint="eastAsia" w:ascii="楷体_GB2312" w:hAnsi="楷体_GB2312" w:eastAsia="楷体_GB2312" w:cs="楷体_GB2312"/>
          <w:kern w:val="2"/>
          <w:sz w:val="32"/>
          <w:szCs w:val="32"/>
        </w:rPr>
        <w:t>谈判目标价</w:t>
      </w:r>
    </w:p>
    <w:p>
      <w:pPr>
        <w:pStyle w:val="2"/>
        <w:autoSpaceDE/>
        <w:autoSpaceDN/>
        <w:spacing w:line="560" w:lineRule="exact"/>
        <w:ind w:firstLine="640" w:firstLineChars="200"/>
        <w:jc w:val="both"/>
        <w:rPr>
          <w:rFonts w:ascii="仿宋_GB2312" w:hAnsi="宋体" w:eastAsia="仿宋_GB2312" w:cstheme="minorBidi"/>
          <w:color w:val="auto"/>
          <w:kern w:val="2"/>
          <w:sz w:val="32"/>
          <w:szCs w:val="32"/>
        </w:rPr>
      </w:pPr>
      <w:r>
        <w:rPr>
          <w:rFonts w:hint="eastAsia" w:ascii="仿宋_GB2312" w:hAnsi="宋体" w:eastAsia="仿宋_GB2312" w:cstheme="minorBidi"/>
          <w:color w:val="auto"/>
          <w:kern w:val="2"/>
          <w:sz w:val="32"/>
          <w:szCs w:val="32"/>
        </w:rPr>
        <w:t>以竞争单元在我市公立医疗机构采购数量、采购价格和同类产品市场整体真实价格水平，经相关程序确定每个竞争单元的谈判目标价（Pa）。</w:t>
      </w:r>
    </w:p>
    <w:p>
      <w:pPr>
        <w:pStyle w:val="2"/>
        <w:autoSpaceDE/>
        <w:autoSpaceDN/>
        <w:spacing w:line="560" w:lineRule="exact"/>
        <w:ind w:firstLine="640" w:firstLineChars="200"/>
        <w:jc w:val="both"/>
        <w:rPr>
          <w:rFonts w:ascii="黑体" w:hAnsi="黑体" w:eastAsia="黑体" w:cs="黑体"/>
          <w:color w:val="auto"/>
          <w:kern w:val="2"/>
          <w:sz w:val="32"/>
          <w:szCs w:val="32"/>
        </w:rPr>
      </w:pPr>
      <w:r>
        <w:rPr>
          <w:rFonts w:hint="eastAsia" w:ascii="仿宋_GB2312" w:eastAsia="仿宋_GB2312"/>
          <w:color w:val="auto"/>
          <w:sz w:val="32"/>
          <w:szCs w:val="32"/>
        </w:rPr>
        <w:t>竞争单元组成情况、竞争单元分类、竞争单元内申报产品基准价等情况在谈判报价前向该产品类别的各申报企业公开</w:t>
      </w:r>
      <w:r>
        <w:rPr>
          <w:rFonts w:hint="eastAsia" w:ascii="仿宋_GB2312" w:eastAsia="仿宋_GB2312" w:cstheme="minorBidi"/>
          <w:color w:val="auto"/>
          <w:kern w:val="2"/>
          <w:sz w:val="32"/>
          <w:szCs w:val="32"/>
        </w:rPr>
        <w:t>三个工作日并接受相关申（投）诉。</w:t>
      </w:r>
    </w:p>
    <w:p>
      <w:pPr>
        <w:spacing w:line="560" w:lineRule="exact"/>
        <w:ind w:left="0" w:firstLine="640" w:firstLineChars="200"/>
        <w:jc w:val="both"/>
        <w:outlineLvl w:val="1"/>
        <w:rPr>
          <w:rFonts w:ascii="黑体" w:hAnsi="黑体" w:eastAsia="黑体" w:cs="黑体"/>
          <w:kern w:val="2"/>
          <w:sz w:val="32"/>
          <w:szCs w:val="32"/>
        </w:rPr>
      </w:pPr>
      <w:bookmarkStart w:id="57" w:name="_Toc2620"/>
      <w:r>
        <w:rPr>
          <w:rFonts w:hint="eastAsia" w:ascii="黑体" w:hAnsi="黑体" w:eastAsia="黑体" w:cs="黑体"/>
          <w:kern w:val="2"/>
          <w:sz w:val="32"/>
          <w:szCs w:val="32"/>
        </w:rPr>
        <w:t>二、报价</w:t>
      </w:r>
      <w:bookmarkEnd w:id="53"/>
      <w:r>
        <w:rPr>
          <w:rFonts w:hint="eastAsia" w:ascii="黑体" w:hAnsi="黑体" w:eastAsia="黑体" w:cs="黑体"/>
          <w:kern w:val="2"/>
          <w:sz w:val="32"/>
          <w:szCs w:val="32"/>
        </w:rPr>
        <w:t>规则</w:t>
      </w:r>
      <w:bookmarkEnd w:id="55"/>
      <w:bookmarkEnd w:id="57"/>
    </w:p>
    <w:p>
      <w:pPr>
        <w:pStyle w:val="13"/>
        <w:numPr>
          <w:ilvl w:val="255"/>
          <w:numId w:val="0"/>
        </w:numPr>
        <w:spacing w:line="560" w:lineRule="exact"/>
        <w:ind w:firstLine="640" w:firstLineChars="200"/>
        <w:jc w:val="both"/>
        <w:outlineLvl w:val="2"/>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（一）报价须知</w:t>
      </w:r>
    </w:p>
    <w:p>
      <w:pPr>
        <w:pStyle w:val="13"/>
        <w:numPr>
          <w:ilvl w:val="255"/>
          <w:numId w:val="0"/>
        </w:numPr>
        <w:spacing w:line="560" w:lineRule="exact"/>
        <w:ind w:firstLine="640" w:firstLineChars="200"/>
        <w:jc w:val="both"/>
        <w:rPr>
          <w:rFonts w:ascii="仿宋_GB2312" w:eastAsia="仿宋_GB2312" w:cstheme="minorBidi"/>
          <w:kern w:val="2"/>
          <w:sz w:val="32"/>
          <w:szCs w:val="32"/>
        </w:rPr>
      </w:pPr>
      <w:r>
        <w:rPr>
          <w:rFonts w:hint="eastAsia" w:ascii="仿宋_GB2312" w:eastAsia="仿宋_GB2312" w:cstheme="minorBidi"/>
          <w:kern w:val="2"/>
          <w:sz w:val="32"/>
          <w:szCs w:val="32"/>
        </w:rPr>
        <w:t>1.本次医用耗材价格谈判以竞争单元为报价单元，最小计量单位为报价单位。谈判价格以人民币“元”为单位填报，保留至小数点后2位。</w:t>
      </w:r>
    </w:p>
    <w:p>
      <w:pPr>
        <w:pStyle w:val="13"/>
        <w:numPr>
          <w:ilvl w:val="255"/>
          <w:numId w:val="0"/>
        </w:numPr>
        <w:spacing w:line="560" w:lineRule="exact"/>
        <w:ind w:firstLine="640" w:firstLineChars="200"/>
        <w:jc w:val="both"/>
        <w:rPr>
          <w:rFonts w:ascii="仿宋_GB2312" w:eastAsia="仿宋_GB2312" w:cstheme="minorBidi"/>
          <w:kern w:val="2"/>
          <w:sz w:val="32"/>
          <w:szCs w:val="32"/>
        </w:rPr>
      </w:pPr>
      <w:r>
        <w:rPr>
          <w:rFonts w:hint="eastAsia" w:ascii="仿宋_GB2312" w:eastAsia="仿宋_GB2312" w:cstheme="minorBidi"/>
          <w:kern w:val="2"/>
          <w:sz w:val="32"/>
          <w:szCs w:val="32"/>
        </w:rPr>
        <w:t>2.谈判报价为谈判企业的实际供应价，应包含税费、配送费等所有费用。</w:t>
      </w:r>
    </w:p>
    <w:p>
      <w:pPr>
        <w:pStyle w:val="2"/>
        <w:autoSpaceDE/>
        <w:autoSpaceDN/>
        <w:spacing w:line="560" w:lineRule="exact"/>
        <w:ind w:firstLine="640" w:firstLineChars="200"/>
        <w:jc w:val="both"/>
        <w:rPr>
          <w:rFonts w:ascii="仿宋_GB2312" w:hAnsi="宋体" w:eastAsia="仿宋_GB2312" w:cstheme="minorBidi"/>
          <w:color w:val="auto"/>
          <w:kern w:val="2"/>
          <w:sz w:val="32"/>
          <w:szCs w:val="32"/>
        </w:rPr>
      </w:pPr>
      <w:r>
        <w:rPr>
          <w:rFonts w:hint="eastAsia" w:ascii="仿宋_GB2312" w:hAnsi="宋体" w:eastAsia="仿宋_GB2312" w:cstheme="minorBidi"/>
          <w:color w:val="auto"/>
          <w:kern w:val="2"/>
          <w:sz w:val="32"/>
          <w:szCs w:val="32"/>
        </w:rPr>
        <w:t>3.谈判企业按报价通知要求参与</w:t>
      </w:r>
      <w:r>
        <w:rPr>
          <w:rFonts w:hint="eastAsia" w:ascii="仿宋_GB2312" w:hAnsi="宋体" w:eastAsia="仿宋_GB2312" w:cstheme="minorBidi"/>
          <w:b/>
          <w:bCs/>
          <w:color w:val="auto"/>
          <w:kern w:val="2"/>
          <w:sz w:val="32"/>
          <w:szCs w:val="32"/>
        </w:rPr>
        <w:t>现场谈判</w:t>
      </w:r>
      <w:r>
        <w:rPr>
          <w:rFonts w:hint="eastAsia" w:ascii="仿宋_GB2312" w:hAnsi="宋体" w:eastAsia="仿宋_GB2312" w:cstheme="minorBidi"/>
          <w:color w:val="auto"/>
          <w:kern w:val="2"/>
          <w:sz w:val="32"/>
          <w:szCs w:val="32"/>
        </w:rPr>
        <w:t>，在阳光平台报名成功的产品均应参与报价，在规定时间内未报价或者不符合报价要求的，视为自动放弃。</w:t>
      </w:r>
    </w:p>
    <w:p>
      <w:pPr>
        <w:pStyle w:val="6"/>
        <w:spacing w:line="560" w:lineRule="exact"/>
        <w:ind w:left="0" w:firstLine="640" w:firstLineChars="200"/>
        <w:jc w:val="both"/>
        <w:rPr>
          <w:rFonts w:ascii="仿宋_GB2312" w:eastAsia="仿宋_GB2312" w:cstheme="minorBidi"/>
          <w:kern w:val="2"/>
          <w:sz w:val="32"/>
          <w:szCs w:val="32"/>
        </w:rPr>
      </w:pPr>
      <w:r>
        <w:rPr>
          <w:rFonts w:hint="eastAsia" w:ascii="仿宋_GB2312" w:eastAsia="仿宋_GB2312" w:cstheme="minorBidi"/>
          <w:kern w:val="2"/>
          <w:sz w:val="32"/>
          <w:szCs w:val="32"/>
        </w:rPr>
        <w:t>4.同一申报产品内涉及多个规格型号的，价格一致。</w:t>
      </w:r>
    </w:p>
    <w:p>
      <w:pPr>
        <w:pStyle w:val="6"/>
        <w:spacing w:line="560" w:lineRule="exact"/>
        <w:ind w:left="0" w:firstLine="643" w:firstLineChars="200"/>
        <w:jc w:val="both"/>
        <w:rPr>
          <w:rFonts w:ascii="仿宋_GB2312" w:eastAsia="仿宋_GB2312" w:cstheme="minorBidi"/>
          <w:b/>
          <w:bCs/>
          <w:kern w:val="2"/>
          <w:sz w:val="32"/>
          <w:szCs w:val="32"/>
        </w:rPr>
      </w:pPr>
      <w:r>
        <w:rPr>
          <w:rFonts w:hint="eastAsia" w:ascii="仿宋_GB2312" w:eastAsia="仿宋_GB2312" w:cstheme="minorBidi"/>
          <w:b/>
          <w:bCs/>
          <w:kern w:val="2"/>
          <w:sz w:val="32"/>
          <w:szCs w:val="32"/>
        </w:rPr>
        <w:t>5.竞争单元报价须包含经外周置入中心静脉导管和完成植入导管基本必需的附件，包括但不限于导管鞘、超声探头穿刺架套件、护理包等。</w:t>
      </w:r>
    </w:p>
    <w:p>
      <w:pPr>
        <w:pStyle w:val="13"/>
        <w:numPr>
          <w:ilvl w:val="255"/>
          <w:numId w:val="0"/>
        </w:numPr>
        <w:spacing w:line="560" w:lineRule="exact"/>
        <w:ind w:firstLine="640" w:firstLineChars="200"/>
        <w:jc w:val="both"/>
        <w:outlineLvl w:val="2"/>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（二）谈判报价</w:t>
      </w:r>
    </w:p>
    <w:p>
      <w:pPr>
        <w:pStyle w:val="2"/>
        <w:autoSpaceDE/>
        <w:autoSpaceDN/>
        <w:spacing w:line="560" w:lineRule="exact"/>
        <w:ind w:firstLine="640" w:firstLineChars="200"/>
        <w:jc w:val="both"/>
        <w:rPr>
          <w:rFonts w:ascii="仿宋_GB2312" w:hAnsi="宋体" w:eastAsia="仿宋_GB2312" w:cstheme="minorBidi"/>
          <w:color w:val="auto"/>
          <w:kern w:val="2"/>
          <w:sz w:val="32"/>
          <w:szCs w:val="32"/>
        </w:rPr>
      </w:pPr>
      <w:bookmarkStart w:id="58" w:name="_Toc2408"/>
      <w:bookmarkStart w:id="59" w:name="_Toc26833"/>
      <w:bookmarkStart w:id="60" w:name="_Toc19250"/>
      <w:bookmarkStart w:id="61" w:name="_Toc16546"/>
      <w:r>
        <w:rPr>
          <w:rFonts w:hint="eastAsia" w:ascii="仿宋_GB2312" w:eastAsia="仿宋_GB2312"/>
          <w:color w:val="auto"/>
          <w:sz w:val="32"/>
          <w:szCs w:val="32"/>
        </w:rPr>
        <w:t>谈判企业需在规定时间和规定地点参与价格谈判。</w:t>
      </w:r>
      <w:r>
        <w:rPr>
          <w:rFonts w:hint="eastAsia" w:ascii="仿宋_GB2312" w:hAnsi="宋体" w:eastAsia="仿宋_GB2312" w:cstheme="minorBidi"/>
          <w:color w:val="auto"/>
          <w:kern w:val="2"/>
          <w:sz w:val="32"/>
          <w:szCs w:val="32"/>
        </w:rPr>
        <w:t>谈判企业以自身竞争单元的谈判基准价（P0）为基础进行谈判报价，谈判报价分为三轮。</w:t>
      </w:r>
      <w:bookmarkStart w:id="62" w:name="_Hlk104735427"/>
      <w:bookmarkStart w:id="63" w:name="_Hlk104735499"/>
      <w:r>
        <w:rPr>
          <w:rFonts w:hint="eastAsia" w:ascii="仿宋_GB2312" w:eastAsia="仿宋_GB2312"/>
          <w:color w:val="auto"/>
          <w:sz w:val="32"/>
          <w:szCs w:val="32"/>
        </w:rPr>
        <w:t>按照前述规则未能确定谈判基准价（P0）的竞争单元，谈判企业根据自身实际供应价格进行谈判报价即可。</w:t>
      </w:r>
      <w:bookmarkEnd w:id="62"/>
      <w:bookmarkEnd w:id="63"/>
      <w:r>
        <w:rPr>
          <w:rFonts w:hint="eastAsia" w:ascii="仿宋_GB2312" w:hAnsi="仿宋_GB2312" w:eastAsia="仿宋_GB2312" w:cs="仿宋_GB2312"/>
          <w:color w:val="auto"/>
          <w:sz w:val="32"/>
          <w:szCs w:val="32"/>
        </w:rPr>
        <w:t>谈判报价现场邀请公证机构和有关部门参加，对全过程进行监督。</w:t>
      </w:r>
    </w:p>
    <w:p>
      <w:pPr>
        <w:pStyle w:val="2"/>
        <w:autoSpaceDE/>
        <w:autoSpaceDN/>
        <w:spacing w:line="560" w:lineRule="exact"/>
        <w:ind w:firstLine="640" w:firstLineChars="200"/>
        <w:jc w:val="both"/>
        <w:rPr>
          <w:rFonts w:ascii="宋体" w:eastAsia="宋体"/>
          <w:b/>
          <w:bCs/>
          <w:color w:val="auto"/>
          <w:szCs w:val="24"/>
        </w:rPr>
      </w:pPr>
      <w:r>
        <w:rPr>
          <w:rFonts w:hint="eastAsia" w:ascii="仿宋_GB2312" w:eastAsia="仿宋_GB2312"/>
          <w:color w:val="auto"/>
          <w:sz w:val="32"/>
          <w:szCs w:val="32"/>
        </w:rPr>
        <w:t>第一轮报价：谈判企业第一轮报价（</w:t>
      </w:r>
      <w:r>
        <w:rPr>
          <w:rFonts w:ascii="仿宋_GB2312" w:eastAsia="仿宋_GB2312"/>
          <w:color w:val="auto"/>
          <w:sz w:val="32"/>
          <w:szCs w:val="32"/>
        </w:rPr>
        <w:t>P1）须不高于谈判基准价（P0），否则视为无效报价。</w:t>
      </w:r>
    </w:p>
    <w:p>
      <w:pPr>
        <w:pStyle w:val="2"/>
        <w:autoSpaceDE/>
        <w:autoSpaceDN/>
        <w:spacing w:line="5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第二轮报价：</w:t>
      </w:r>
      <w:r>
        <w:rPr>
          <w:rFonts w:ascii="仿宋_GB2312" w:eastAsia="仿宋_GB2312"/>
          <w:color w:val="auto"/>
          <w:sz w:val="32"/>
          <w:szCs w:val="32"/>
        </w:rPr>
        <w:t>第一轮报价结束后，谈判企业根据</w:t>
      </w:r>
      <w:r>
        <w:rPr>
          <w:rFonts w:hint="eastAsia" w:ascii="仿宋_GB2312" w:eastAsia="仿宋_GB2312"/>
          <w:color w:val="auto"/>
          <w:sz w:val="32"/>
          <w:szCs w:val="32"/>
        </w:rPr>
        <w:t>第一轮谈判情况反馈</w:t>
      </w:r>
      <w:r>
        <w:rPr>
          <w:rFonts w:ascii="仿宋_GB2312" w:eastAsia="仿宋_GB2312"/>
          <w:color w:val="auto"/>
          <w:sz w:val="32"/>
          <w:szCs w:val="32"/>
        </w:rPr>
        <w:t>进行第二轮报价（P2），第二轮报价（P2）须不高于第一轮报价（P1），否则视为无效报价。</w:t>
      </w:r>
    </w:p>
    <w:p>
      <w:pPr>
        <w:pStyle w:val="2"/>
        <w:autoSpaceDE/>
        <w:autoSpaceDN/>
        <w:spacing w:line="5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第三轮报价：</w:t>
      </w:r>
      <w:r>
        <w:rPr>
          <w:rFonts w:ascii="仿宋_GB2312" w:eastAsia="仿宋_GB2312"/>
          <w:color w:val="auto"/>
          <w:sz w:val="32"/>
          <w:szCs w:val="32"/>
        </w:rPr>
        <w:t>两轮报价结束后，谈判企业可获知</w:t>
      </w:r>
      <w:r>
        <w:rPr>
          <w:rFonts w:hint="eastAsia" w:ascii="仿宋_GB2312" w:eastAsia="仿宋_GB2312"/>
          <w:color w:val="auto"/>
          <w:sz w:val="32"/>
          <w:szCs w:val="32"/>
        </w:rPr>
        <w:t>自身</w:t>
      </w:r>
      <w:r>
        <w:rPr>
          <w:rFonts w:ascii="仿宋_GB2312" w:eastAsia="仿宋_GB2312"/>
          <w:color w:val="auto"/>
          <w:sz w:val="32"/>
          <w:szCs w:val="32"/>
        </w:rPr>
        <w:t>参与谈判的每一个</w:t>
      </w:r>
      <w:r>
        <w:rPr>
          <w:rFonts w:hint="eastAsia" w:ascii="仿宋_GB2312" w:eastAsia="仿宋_GB2312"/>
          <w:color w:val="auto"/>
          <w:sz w:val="32"/>
          <w:szCs w:val="32"/>
        </w:rPr>
        <w:t>竞争单元</w:t>
      </w:r>
      <w:r>
        <w:rPr>
          <w:rFonts w:ascii="仿宋_GB2312" w:eastAsia="仿宋_GB2312"/>
          <w:color w:val="auto"/>
          <w:sz w:val="32"/>
          <w:szCs w:val="32"/>
        </w:rPr>
        <w:t>是否已达到</w:t>
      </w:r>
      <w:r>
        <w:rPr>
          <w:rFonts w:hint="eastAsia" w:ascii="仿宋_GB2312" w:hAnsi="宋体" w:eastAsia="仿宋_GB2312" w:cstheme="minorBidi"/>
          <w:color w:val="auto"/>
          <w:kern w:val="2"/>
          <w:sz w:val="32"/>
          <w:szCs w:val="32"/>
        </w:rPr>
        <w:t>谈判目标价（Pa）</w:t>
      </w:r>
      <w:r>
        <w:rPr>
          <w:rFonts w:ascii="仿宋_GB2312" w:eastAsia="仿宋_GB2312"/>
          <w:color w:val="auto"/>
          <w:sz w:val="32"/>
          <w:szCs w:val="32"/>
        </w:rPr>
        <w:t>，在此基础上，进行第三轮报价（P3）。第三轮报价（P3）须不高于第二轮报价（P2），否则视为无效报价。</w:t>
      </w:r>
    </w:p>
    <w:p>
      <w:pPr>
        <w:pStyle w:val="2"/>
        <w:autoSpaceDE/>
        <w:autoSpaceDN/>
        <w:spacing w:line="5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对于由多个申报产品组成的竞争单元，谈判企业应在第一轮、第二轮、第三轮报价时同步明确其中各申报产品的价格；同一谈判企业的同类型附属产品，其价格必须保持一致。</w:t>
      </w:r>
    </w:p>
    <w:bookmarkEnd w:id="58"/>
    <w:p>
      <w:pPr>
        <w:spacing w:line="560" w:lineRule="exact"/>
        <w:ind w:left="0" w:firstLine="640" w:firstLineChars="200"/>
        <w:jc w:val="both"/>
        <w:outlineLvl w:val="1"/>
        <w:rPr>
          <w:rFonts w:ascii="黑体" w:hAnsi="黑体" w:eastAsia="黑体" w:cs="黑体"/>
          <w:kern w:val="2"/>
          <w:sz w:val="32"/>
          <w:szCs w:val="32"/>
        </w:rPr>
      </w:pPr>
      <w:bookmarkStart w:id="64" w:name="_Toc2105"/>
      <w:r>
        <w:rPr>
          <w:rFonts w:hint="eastAsia" w:ascii="黑体" w:hAnsi="黑体" w:eastAsia="黑体" w:cs="黑体"/>
          <w:kern w:val="2"/>
          <w:sz w:val="32"/>
          <w:szCs w:val="32"/>
        </w:rPr>
        <w:t>三、</w:t>
      </w:r>
      <w:bookmarkEnd w:id="59"/>
      <w:bookmarkEnd w:id="60"/>
      <w:bookmarkEnd w:id="61"/>
      <w:bookmarkEnd w:id="64"/>
      <w:bookmarkStart w:id="65" w:name="_Toc16404"/>
      <w:bookmarkStart w:id="66" w:name="_Toc3070"/>
      <w:bookmarkStart w:id="67" w:name="_Toc4676"/>
      <w:bookmarkStart w:id="68" w:name="_Toc4664"/>
      <w:r>
        <w:rPr>
          <w:rFonts w:hint="eastAsia" w:ascii="黑体" w:hAnsi="黑体" w:eastAsia="黑体" w:cs="黑体"/>
          <w:kern w:val="2"/>
          <w:sz w:val="32"/>
          <w:szCs w:val="32"/>
        </w:rPr>
        <w:t>拟中选规则</w:t>
      </w:r>
      <w:bookmarkEnd w:id="65"/>
      <w:bookmarkEnd w:id="66"/>
      <w:r>
        <w:rPr>
          <w:rFonts w:hint="eastAsia" w:ascii="黑体" w:hAnsi="黑体" w:eastAsia="黑体" w:cs="黑体"/>
          <w:kern w:val="2"/>
          <w:sz w:val="32"/>
          <w:szCs w:val="32"/>
        </w:rPr>
        <w:t>及备选</w:t>
      </w:r>
      <w:bookmarkEnd w:id="67"/>
      <w:r>
        <w:rPr>
          <w:rFonts w:hint="eastAsia" w:ascii="黑体" w:hAnsi="黑体" w:eastAsia="黑体" w:cs="黑体"/>
          <w:kern w:val="2"/>
          <w:sz w:val="32"/>
          <w:szCs w:val="32"/>
        </w:rPr>
        <w:t>竞争单元</w:t>
      </w:r>
    </w:p>
    <w:p>
      <w:pPr>
        <w:adjustRightInd w:val="0"/>
        <w:snapToGrid w:val="0"/>
        <w:spacing w:line="560" w:lineRule="exact"/>
        <w:ind w:left="0" w:firstLine="640" w:firstLineChars="200"/>
        <w:jc w:val="both"/>
        <w:rPr>
          <w:rFonts w:ascii="楷体_GB2312" w:hAnsi="楷体_GB2312" w:eastAsia="楷体_GB2312" w:cs="楷体_GB2312"/>
          <w:b/>
          <w:sz w:val="32"/>
          <w:szCs w:val="32"/>
        </w:rPr>
      </w:pPr>
      <w:bookmarkStart w:id="69" w:name="_Toc3734"/>
      <w:bookmarkStart w:id="70" w:name="_Toc3954"/>
      <w:r>
        <w:rPr>
          <w:rFonts w:hint="eastAsia" w:ascii="仿宋_GB2312" w:eastAsia="仿宋_GB2312"/>
          <w:sz w:val="32"/>
          <w:szCs w:val="32"/>
        </w:rPr>
        <w:t>第一轮报价（P</w:t>
      </w:r>
      <w:r>
        <w:rPr>
          <w:rFonts w:hint="eastAsia" w:ascii="仿宋_GB2312" w:hAnsi="方正仿宋简体" w:eastAsia="仿宋_GB2312"/>
          <w:sz w:val="32"/>
          <w:szCs w:val="32"/>
        </w:rPr>
        <w:t>1</w:t>
      </w:r>
      <w:r>
        <w:rPr>
          <w:rFonts w:ascii="仿宋_GB2312" w:eastAsia="仿宋_GB2312"/>
          <w:sz w:val="32"/>
          <w:szCs w:val="32"/>
        </w:rPr>
        <w:t>）、第二轮报价（</w:t>
      </w:r>
      <w:r>
        <w:rPr>
          <w:rFonts w:hint="eastAsia" w:ascii="仿宋_GB2312" w:eastAsia="仿宋_GB2312"/>
          <w:sz w:val="32"/>
          <w:szCs w:val="32"/>
        </w:rPr>
        <w:t>P</w:t>
      </w:r>
      <w:r>
        <w:rPr>
          <w:rFonts w:hint="eastAsia" w:ascii="仿宋_GB2312" w:hAnsi="方正仿宋简体" w:eastAsia="仿宋_GB2312"/>
          <w:sz w:val="32"/>
          <w:szCs w:val="32"/>
        </w:rPr>
        <w:t>2</w:t>
      </w:r>
      <w:r>
        <w:rPr>
          <w:rFonts w:ascii="仿宋_GB2312" w:eastAsia="仿宋_GB2312"/>
          <w:sz w:val="32"/>
          <w:szCs w:val="32"/>
        </w:rPr>
        <w:t>）、第三轮报价（P</w:t>
      </w:r>
      <w:r>
        <w:rPr>
          <w:rFonts w:ascii="仿宋_GB2312" w:hAnsi="方正仿宋简体" w:eastAsia="仿宋_GB2312"/>
          <w:sz w:val="32"/>
          <w:szCs w:val="32"/>
        </w:rPr>
        <w:t>3</w:t>
      </w:r>
      <w:r>
        <w:rPr>
          <w:rFonts w:ascii="仿宋_GB2312" w:eastAsia="仿宋_GB2312"/>
          <w:sz w:val="32"/>
          <w:szCs w:val="32"/>
        </w:rPr>
        <w:t>）均为有效报价，且第三轮报价（P</w:t>
      </w:r>
      <w:r>
        <w:rPr>
          <w:rFonts w:ascii="仿宋_GB2312" w:hAnsi="方正仿宋简体" w:eastAsia="仿宋_GB2312"/>
          <w:sz w:val="32"/>
          <w:szCs w:val="32"/>
        </w:rPr>
        <w:t>3</w:t>
      </w:r>
      <w:r>
        <w:rPr>
          <w:rFonts w:ascii="仿宋_GB2312" w:eastAsia="仿宋_GB2312"/>
          <w:sz w:val="32"/>
          <w:szCs w:val="32"/>
        </w:rPr>
        <w:t>）不高于谈判目标价（P</w:t>
      </w:r>
      <w:r>
        <w:rPr>
          <w:rFonts w:ascii="仿宋_GB2312" w:hAnsi="方正仿宋简体" w:eastAsia="仿宋_GB2312"/>
          <w:sz w:val="32"/>
          <w:szCs w:val="32"/>
        </w:rPr>
        <w:t>a</w:t>
      </w:r>
      <w:r>
        <w:rPr>
          <w:rFonts w:ascii="仿宋_GB2312" w:eastAsia="仿宋_GB2312"/>
          <w:sz w:val="32"/>
          <w:szCs w:val="32"/>
        </w:rPr>
        <w:t>）的</w:t>
      </w:r>
      <w:r>
        <w:rPr>
          <w:rFonts w:hint="eastAsia" w:ascii="仿宋_GB2312" w:eastAsia="仿宋_GB2312"/>
          <w:sz w:val="32"/>
          <w:szCs w:val="32"/>
        </w:rPr>
        <w:t>竞争单元</w:t>
      </w:r>
      <w:r>
        <w:rPr>
          <w:rFonts w:ascii="仿宋_GB2312" w:eastAsia="仿宋_GB2312"/>
          <w:sz w:val="32"/>
          <w:szCs w:val="32"/>
        </w:rPr>
        <w:t>获得拟中选资格</w:t>
      </w:r>
      <w:r>
        <w:rPr>
          <w:rFonts w:hint="eastAsia" w:ascii="仿宋_GB2312" w:eastAsia="仿宋_GB2312"/>
          <w:sz w:val="32"/>
          <w:szCs w:val="32"/>
        </w:rPr>
        <w:t>，相关申报产品即为拟中选产品</w:t>
      </w:r>
      <w:r>
        <w:rPr>
          <w:rFonts w:ascii="仿宋_GB2312" w:eastAsia="仿宋_GB2312"/>
          <w:sz w:val="32"/>
          <w:szCs w:val="32"/>
        </w:rPr>
        <w:t>。</w:t>
      </w:r>
    </w:p>
    <w:p>
      <w:pPr>
        <w:spacing w:line="560" w:lineRule="exact"/>
        <w:ind w:left="0" w:firstLine="640" w:firstLineChars="200"/>
        <w:jc w:val="both"/>
        <w:rPr>
          <w:rFonts w:ascii="仿宋_GB2312" w:eastAsia="仿宋_GB2312"/>
          <w:sz w:val="32"/>
          <w:szCs w:val="32"/>
        </w:rPr>
      </w:pPr>
      <w:bookmarkStart w:id="71" w:name="_Toc4131"/>
      <w:r>
        <w:rPr>
          <w:rFonts w:hint="eastAsia" w:ascii="仿宋_GB2312" w:eastAsia="仿宋_GB2312"/>
          <w:sz w:val="32"/>
          <w:szCs w:val="32"/>
        </w:rPr>
        <w:t>第一轮报价（P</w:t>
      </w:r>
      <w:r>
        <w:rPr>
          <w:rFonts w:hint="eastAsia" w:ascii="仿宋_GB2312" w:hAnsi="方正仿宋简体" w:eastAsia="仿宋_GB2312"/>
          <w:sz w:val="32"/>
          <w:szCs w:val="32"/>
        </w:rPr>
        <w:t>1</w:t>
      </w:r>
      <w:r>
        <w:rPr>
          <w:rFonts w:hint="eastAsia" w:ascii="仿宋_GB2312" w:eastAsia="仿宋_GB2312"/>
          <w:sz w:val="32"/>
          <w:szCs w:val="32"/>
        </w:rPr>
        <w:t>）、第二轮报价（P</w:t>
      </w:r>
      <w:r>
        <w:rPr>
          <w:rFonts w:hint="eastAsia" w:ascii="仿宋_GB2312" w:hAnsi="方正仿宋简体" w:eastAsia="仿宋_GB2312"/>
          <w:sz w:val="32"/>
          <w:szCs w:val="32"/>
        </w:rPr>
        <w:t>2</w:t>
      </w:r>
      <w:r>
        <w:rPr>
          <w:rFonts w:hint="eastAsia" w:ascii="仿宋_GB2312" w:eastAsia="仿宋_GB2312"/>
          <w:sz w:val="32"/>
          <w:szCs w:val="32"/>
        </w:rPr>
        <w:t>）、</w:t>
      </w:r>
      <w:r>
        <w:rPr>
          <w:rFonts w:ascii="仿宋_GB2312" w:eastAsia="仿宋_GB2312"/>
          <w:sz w:val="32"/>
          <w:szCs w:val="32"/>
        </w:rPr>
        <w:t>第三轮报价（P</w:t>
      </w:r>
      <w:r>
        <w:rPr>
          <w:rFonts w:ascii="仿宋_GB2312" w:hAnsi="方正仿宋简体" w:eastAsia="仿宋_GB2312"/>
          <w:sz w:val="32"/>
          <w:szCs w:val="32"/>
        </w:rPr>
        <w:t>3</w:t>
      </w:r>
      <w:r>
        <w:rPr>
          <w:rFonts w:ascii="仿宋_GB2312" w:eastAsia="仿宋_GB2312"/>
          <w:sz w:val="32"/>
          <w:szCs w:val="32"/>
        </w:rPr>
        <w:t>）</w:t>
      </w:r>
      <w:r>
        <w:rPr>
          <w:rFonts w:hint="eastAsia" w:ascii="仿宋_GB2312" w:eastAsia="仿宋_GB2312"/>
          <w:sz w:val="32"/>
          <w:szCs w:val="32"/>
        </w:rPr>
        <w:t>均为有效报价的未中选竞争单元，按照第三轮有效报价（P</w:t>
      </w:r>
      <w:r>
        <w:rPr>
          <w:rFonts w:ascii="仿宋_GB2312" w:hAnsi="方正仿宋简体" w:eastAsia="仿宋_GB2312"/>
          <w:sz w:val="32"/>
          <w:szCs w:val="32"/>
        </w:rPr>
        <w:t>3</w:t>
      </w:r>
      <w:r>
        <w:rPr>
          <w:rFonts w:hint="eastAsia" w:ascii="仿宋_GB2312" w:eastAsia="仿宋_GB2312"/>
          <w:sz w:val="32"/>
          <w:szCs w:val="32"/>
        </w:rPr>
        <w:t>）与谈判目标价（P</w:t>
      </w:r>
      <w:r>
        <w:rPr>
          <w:rFonts w:hint="eastAsia" w:ascii="仿宋_GB2312" w:hAnsi="方正仿宋简体" w:eastAsia="仿宋_GB2312"/>
          <w:sz w:val="32"/>
          <w:szCs w:val="32"/>
        </w:rPr>
        <w:t>a</w:t>
      </w:r>
      <w:r>
        <w:rPr>
          <w:rFonts w:hint="eastAsia" w:ascii="仿宋_GB2312" w:eastAsia="仿宋_GB2312"/>
          <w:sz w:val="32"/>
          <w:szCs w:val="32"/>
        </w:rPr>
        <w:t>）差幅由低到高进行排序，全部纳入备选竞争单元范围。</w:t>
      </w:r>
      <w:bookmarkEnd w:id="71"/>
    </w:p>
    <w:p>
      <w:pPr>
        <w:spacing w:line="560" w:lineRule="exact"/>
        <w:ind w:left="0" w:firstLine="640" w:firstLineChars="200"/>
        <w:jc w:val="both"/>
        <w:outlineLvl w:val="1"/>
        <w:rPr>
          <w:rFonts w:ascii="黑体" w:hAnsi="黑体" w:eastAsia="黑体" w:cs="黑体"/>
          <w:kern w:val="2"/>
          <w:sz w:val="32"/>
          <w:szCs w:val="32"/>
        </w:rPr>
      </w:pPr>
      <w:bookmarkStart w:id="72" w:name="_Toc3979"/>
      <w:r>
        <w:rPr>
          <w:rFonts w:hint="eastAsia" w:ascii="黑体" w:hAnsi="黑体" w:eastAsia="黑体" w:cs="黑体"/>
          <w:kern w:val="2"/>
          <w:sz w:val="32"/>
          <w:szCs w:val="32"/>
        </w:rPr>
        <w:t>四、结果公示</w:t>
      </w:r>
      <w:bookmarkEnd w:id="68"/>
      <w:bookmarkEnd w:id="69"/>
      <w:bookmarkEnd w:id="70"/>
      <w:r>
        <w:rPr>
          <w:rFonts w:hint="eastAsia" w:ascii="黑体" w:hAnsi="黑体" w:eastAsia="黑体" w:cs="黑体"/>
          <w:kern w:val="2"/>
          <w:sz w:val="32"/>
          <w:szCs w:val="32"/>
        </w:rPr>
        <w:t>（公告）</w:t>
      </w:r>
      <w:bookmarkEnd w:id="72"/>
    </w:p>
    <w:p>
      <w:pPr>
        <w:adjustRightInd w:val="0"/>
        <w:snapToGrid w:val="0"/>
        <w:spacing w:line="560" w:lineRule="exact"/>
        <w:ind w:left="0" w:firstLine="640" w:firstLineChars="200"/>
        <w:jc w:val="both"/>
        <w:rPr>
          <w:rFonts w:ascii="仿宋_GB2312" w:eastAsia="仿宋_GB2312"/>
          <w:sz w:val="32"/>
          <w:szCs w:val="32"/>
        </w:rPr>
      </w:pPr>
      <w:bookmarkStart w:id="73" w:name="_Hlk103600778"/>
      <w:r>
        <w:rPr>
          <w:rFonts w:hint="eastAsia" w:ascii="仿宋_GB2312" w:eastAsia="仿宋_GB2312" w:cstheme="minorBidi"/>
          <w:kern w:val="2"/>
          <w:sz w:val="32"/>
          <w:szCs w:val="32"/>
        </w:rPr>
        <w:t>（一）拟中选结果公示：价格谈判结束后，拟中选结果在深圳公共资源交易网站公示三个工作日并接受相关申（投）诉。</w:t>
      </w:r>
      <w:r>
        <w:rPr>
          <w:rFonts w:hint="eastAsia" w:ascii="仿宋_GB2312" w:eastAsia="仿宋_GB2312"/>
          <w:sz w:val="32"/>
          <w:szCs w:val="32"/>
        </w:rPr>
        <w:t>备选竞争单元不在拟中选结果中公</w:t>
      </w:r>
      <w:bookmarkStart w:id="74" w:name="_Hlk103340252"/>
      <w:r>
        <w:rPr>
          <w:rFonts w:hint="eastAsia" w:ascii="仿宋_GB2312" w:eastAsia="仿宋_GB2312"/>
          <w:sz w:val="32"/>
          <w:szCs w:val="32"/>
        </w:rPr>
        <w:t>示</w:t>
      </w:r>
      <w:bookmarkEnd w:id="74"/>
      <w:r>
        <w:rPr>
          <w:rFonts w:hint="eastAsia" w:ascii="仿宋_GB2312" w:eastAsia="仿宋_GB2312"/>
          <w:sz w:val="32"/>
          <w:szCs w:val="32"/>
        </w:rPr>
        <w:t>。</w:t>
      </w:r>
    </w:p>
    <w:p>
      <w:pPr>
        <w:adjustRightInd w:val="0"/>
        <w:snapToGrid w:val="0"/>
        <w:spacing w:line="560" w:lineRule="exact"/>
        <w:ind w:left="0" w:firstLine="640" w:firstLineChars="200"/>
        <w:jc w:val="both"/>
        <w:rPr>
          <w:rFonts w:ascii="仿宋_GB2312" w:eastAsia="仿宋_GB2312" w:cstheme="minorBidi"/>
          <w:kern w:val="2"/>
          <w:sz w:val="32"/>
          <w:szCs w:val="32"/>
        </w:rPr>
      </w:pPr>
      <w:r>
        <w:rPr>
          <w:rFonts w:hint="eastAsia" w:ascii="仿宋_GB2312" w:eastAsia="仿宋_GB2312" w:cstheme="minorBidi"/>
          <w:kern w:val="2"/>
          <w:sz w:val="32"/>
          <w:szCs w:val="32"/>
        </w:rPr>
        <w:t>（二）中选结果公告：拟中选结果公示和申（投）诉处理（如有）完成后，交易中心将通过深圳阳光平台发布中选结果公告，并将中选结果和申（投）诉处理结果（如有）同步报送深圳市医疗保障局和深圳市医疗保险基金管理中心。</w:t>
      </w:r>
    </w:p>
    <w:bookmarkEnd w:id="73"/>
    <w:p>
      <w:pPr>
        <w:spacing w:line="560" w:lineRule="exact"/>
        <w:ind w:left="0" w:firstLine="640" w:firstLineChars="200"/>
        <w:jc w:val="both"/>
        <w:outlineLvl w:val="1"/>
        <w:rPr>
          <w:rFonts w:ascii="黑体" w:hAnsi="黑体" w:eastAsia="黑体" w:cs="黑体"/>
          <w:kern w:val="2"/>
          <w:sz w:val="32"/>
          <w:szCs w:val="32"/>
        </w:rPr>
      </w:pPr>
      <w:bookmarkStart w:id="75" w:name="_Toc3889"/>
      <w:bookmarkStart w:id="76" w:name="_Toc20355"/>
      <w:bookmarkStart w:id="77" w:name="_Toc26024"/>
      <w:r>
        <w:rPr>
          <w:rFonts w:hint="eastAsia" w:ascii="黑体" w:hAnsi="黑体" w:eastAsia="黑体" w:cs="黑体"/>
          <w:kern w:val="2"/>
          <w:sz w:val="32"/>
          <w:szCs w:val="32"/>
        </w:rPr>
        <w:t>五、申（投）诉处理</w:t>
      </w:r>
      <w:bookmarkEnd w:id="75"/>
      <w:bookmarkEnd w:id="76"/>
      <w:bookmarkEnd w:id="77"/>
    </w:p>
    <w:p>
      <w:pPr>
        <w:adjustRightInd w:val="0"/>
        <w:snapToGrid w:val="0"/>
        <w:spacing w:line="560" w:lineRule="exact"/>
        <w:ind w:left="0" w:firstLine="640" w:firstLineChars="200"/>
        <w:jc w:val="both"/>
        <w:rPr>
          <w:rFonts w:ascii="仿宋_GB2312" w:eastAsia="仿宋_GB2312" w:cstheme="minorBidi"/>
          <w:kern w:val="2"/>
          <w:sz w:val="32"/>
          <w:szCs w:val="32"/>
        </w:rPr>
      </w:pPr>
      <w:bookmarkStart w:id="78" w:name="_Hlk103600844"/>
      <w:r>
        <w:rPr>
          <w:rFonts w:hint="eastAsia" w:ascii="仿宋_GB2312" w:eastAsia="仿宋_GB2312" w:cstheme="minorBidi"/>
          <w:kern w:val="2"/>
          <w:sz w:val="32"/>
          <w:szCs w:val="32"/>
        </w:rPr>
        <w:t>（一）经公开的</w:t>
      </w:r>
      <w:r>
        <w:rPr>
          <w:rFonts w:hint="eastAsia" w:ascii="仿宋_GB2312" w:eastAsia="仿宋_GB2312"/>
          <w:sz w:val="32"/>
          <w:szCs w:val="32"/>
        </w:rPr>
        <w:t>竞争单元组成情况、竞争单元分类、竞争单元内申报产品基准价，以及</w:t>
      </w:r>
      <w:r>
        <w:rPr>
          <w:rFonts w:hint="eastAsia" w:ascii="仿宋_GB2312" w:eastAsia="仿宋_GB2312" w:cstheme="minorBidi"/>
          <w:kern w:val="2"/>
          <w:sz w:val="32"/>
          <w:szCs w:val="32"/>
        </w:rPr>
        <w:t>拟中选结果公示，均接受申（投）诉</w:t>
      </w:r>
      <w:r>
        <w:rPr>
          <w:rFonts w:hint="eastAsia" w:ascii="仿宋_GB2312" w:eastAsia="仿宋_GB2312"/>
          <w:sz w:val="32"/>
          <w:szCs w:val="32"/>
        </w:rPr>
        <w:t>；相关企业如有异议，可向交易中心递交申（投）诉申请。</w:t>
      </w:r>
    </w:p>
    <w:p>
      <w:pPr>
        <w:adjustRightInd w:val="0"/>
        <w:snapToGrid w:val="0"/>
        <w:spacing w:line="560" w:lineRule="exact"/>
        <w:ind w:left="0" w:firstLine="640" w:firstLineChars="200"/>
        <w:jc w:val="both"/>
        <w:rPr>
          <w:rFonts w:ascii="仿宋_GB2312" w:eastAsia="仿宋_GB2312" w:cstheme="minorBidi"/>
          <w:kern w:val="2"/>
          <w:sz w:val="32"/>
          <w:szCs w:val="32"/>
        </w:rPr>
      </w:pPr>
      <w:r>
        <w:rPr>
          <w:rFonts w:hint="eastAsia" w:ascii="仿宋_GB2312" w:eastAsia="仿宋_GB2312" w:cstheme="minorBidi"/>
          <w:kern w:val="2"/>
          <w:sz w:val="32"/>
          <w:szCs w:val="32"/>
        </w:rPr>
        <w:t>（二）</w:t>
      </w:r>
      <w:r>
        <w:rPr>
          <w:rFonts w:hint="eastAsia" w:ascii="仿宋_GB2312" w:eastAsia="仿宋_GB2312"/>
          <w:sz w:val="32"/>
          <w:szCs w:val="32"/>
        </w:rPr>
        <w:t>申（投）诉方必须提供</w:t>
      </w:r>
      <w:r>
        <w:rPr>
          <w:rFonts w:ascii="仿宋_GB2312" w:eastAsia="仿宋_GB2312" w:cs="仿宋_GB2312"/>
          <w:sz w:val="32"/>
          <w:szCs w:val="32"/>
          <w:shd w:val="clear" w:color="auto" w:fill="FFFFFF"/>
        </w:rPr>
        <w:t>真实</w:t>
      </w:r>
      <w:r>
        <w:rPr>
          <w:rFonts w:hint="eastAsia" w:ascii="仿宋_GB2312" w:eastAsia="仿宋_GB2312" w:cs="仿宋_GB2312"/>
          <w:sz w:val="32"/>
          <w:szCs w:val="32"/>
          <w:shd w:val="clear" w:color="auto" w:fill="FFFFFF"/>
        </w:rPr>
        <w:t>有效、清晰完整、有针对性且无歧义的证明材料</w:t>
      </w:r>
      <w:r>
        <w:rPr>
          <w:rFonts w:hint="eastAsia" w:ascii="仿宋_GB2312" w:eastAsia="仿宋_GB2312"/>
          <w:sz w:val="32"/>
          <w:szCs w:val="32"/>
        </w:rPr>
        <w:t>。若存在提供虚假材料或者有其他弄虚作假行为，</w:t>
      </w:r>
      <w:r>
        <w:rPr>
          <w:rFonts w:hint="eastAsia" w:ascii="仿宋_GB2312" w:eastAsia="仿宋_GB2312" w:cstheme="minorBidi"/>
          <w:kern w:val="2"/>
          <w:sz w:val="32"/>
          <w:szCs w:val="32"/>
        </w:rPr>
        <w:t>交易中心</w:t>
      </w:r>
      <w:r>
        <w:rPr>
          <w:rFonts w:hint="eastAsia" w:ascii="仿宋_GB2312" w:eastAsia="仿宋_GB2312"/>
          <w:sz w:val="32"/>
          <w:szCs w:val="32"/>
        </w:rPr>
        <w:t>将移交至相关部门依法依规处理。</w:t>
      </w:r>
    </w:p>
    <w:p>
      <w:pPr>
        <w:adjustRightInd w:val="0"/>
        <w:snapToGrid w:val="0"/>
        <w:spacing w:line="560" w:lineRule="exact"/>
        <w:ind w:left="0" w:firstLine="640" w:firstLineChars="200"/>
        <w:jc w:val="both"/>
        <w:rPr>
          <w:rFonts w:ascii="仿宋_GB2312" w:hAnsi="仿宋_GB2312" w:eastAsia="仿宋_GB2312" w:cs="仿宋_GB2312"/>
          <w:sz w:val="32"/>
          <w:szCs w:val="32"/>
        </w:rPr>
      </w:pPr>
      <w:r>
        <w:rPr>
          <w:rFonts w:hint="eastAsia" w:ascii="仿宋_GB2312" w:eastAsia="仿宋_GB2312" w:cstheme="minorBidi"/>
          <w:kern w:val="2"/>
          <w:sz w:val="32"/>
          <w:szCs w:val="32"/>
        </w:rPr>
        <w:t>（三）交易中心负责申（投）诉处理，并及时进行回复。</w:t>
      </w:r>
      <w:bookmarkStart w:id="79" w:name="_Hlk102566847"/>
      <w:r>
        <w:rPr>
          <w:rFonts w:hint="eastAsia" w:ascii="仿宋_GB2312" w:eastAsia="仿宋_GB2312"/>
          <w:sz w:val="32"/>
          <w:szCs w:val="32"/>
        </w:rPr>
        <w:t>市</w:t>
      </w:r>
      <w:r>
        <w:rPr>
          <w:rFonts w:hint="eastAsia" w:ascii="仿宋_GB2312" w:hAnsi="仿宋_GB2312" w:eastAsia="仿宋_GB2312" w:cs="仿宋_GB2312"/>
          <w:sz w:val="32"/>
          <w:szCs w:val="32"/>
        </w:rPr>
        <w:t>医疗保障部门负责处理对交易中心处理不满意的相关投诉。</w:t>
      </w:r>
      <w:bookmarkEnd w:id="79"/>
    </w:p>
    <w:p>
      <w:pPr>
        <w:adjustRightInd w:val="0"/>
        <w:snapToGrid w:val="0"/>
        <w:spacing w:line="560" w:lineRule="exact"/>
        <w:ind w:left="0" w:firstLine="640" w:firstLineChars="200"/>
        <w:jc w:val="both"/>
        <w:rPr>
          <w:rFonts w:ascii="仿宋_GB2312" w:eastAsia="仿宋_GB2312" w:cstheme="minorBidi"/>
          <w:kern w:val="2"/>
          <w:sz w:val="32"/>
          <w:szCs w:val="32"/>
        </w:rPr>
      </w:pPr>
      <w:r>
        <w:rPr>
          <w:rFonts w:hint="eastAsia" w:ascii="仿宋_GB2312" w:eastAsia="仿宋_GB2312" w:cstheme="minorBidi"/>
          <w:kern w:val="2"/>
          <w:sz w:val="32"/>
          <w:szCs w:val="32"/>
        </w:rPr>
        <w:t>（四）</w:t>
      </w:r>
      <w:bookmarkStart w:id="80" w:name="_Hlk102566754"/>
      <w:r>
        <w:rPr>
          <w:rFonts w:hint="eastAsia" w:ascii="仿宋_GB2312" w:eastAsia="仿宋_GB2312" w:cstheme="minorBidi"/>
          <w:kern w:val="2"/>
          <w:sz w:val="32"/>
          <w:szCs w:val="32"/>
        </w:rPr>
        <w:t>申（投）诉处理结果同步报送</w:t>
      </w:r>
      <w:r>
        <w:rPr>
          <w:rFonts w:hint="eastAsia" w:ascii="仿宋_GB2312" w:hAnsi="仿宋_GB2312" w:eastAsia="仿宋_GB2312" w:cs="仿宋_GB2312"/>
          <w:sz w:val="32"/>
          <w:szCs w:val="32"/>
        </w:rPr>
        <w:t>深圳市医疗保障局和深圳市医疗保险基金管理中心</w:t>
      </w:r>
      <w:r>
        <w:rPr>
          <w:rFonts w:hint="eastAsia" w:ascii="仿宋_GB2312" w:eastAsia="仿宋_GB2312" w:cstheme="minorBidi"/>
          <w:kern w:val="2"/>
          <w:sz w:val="32"/>
          <w:szCs w:val="32"/>
        </w:rPr>
        <w:t>。</w:t>
      </w:r>
      <w:bookmarkEnd w:id="78"/>
    </w:p>
    <w:bookmarkEnd w:id="80"/>
    <w:p>
      <w:pPr>
        <w:spacing w:line="560" w:lineRule="exact"/>
        <w:ind w:left="0" w:firstLine="640" w:firstLineChars="200"/>
        <w:jc w:val="both"/>
        <w:outlineLvl w:val="1"/>
        <w:rPr>
          <w:rFonts w:ascii="黑体" w:hAnsi="黑体" w:eastAsia="黑体" w:cs="黑体"/>
          <w:kern w:val="2"/>
          <w:sz w:val="32"/>
          <w:szCs w:val="32"/>
        </w:rPr>
      </w:pPr>
      <w:bookmarkStart w:id="81" w:name="_Toc3344"/>
      <w:bookmarkStart w:id="82" w:name="_Toc28741"/>
      <w:bookmarkStart w:id="83" w:name="_Toc26261"/>
      <w:bookmarkStart w:id="84" w:name="_Toc3259"/>
      <w:r>
        <w:rPr>
          <w:rFonts w:hint="eastAsia" w:ascii="黑体" w:hAnsi="黑体" w:eastAsia="黑体" w:cs="黑体"/>
          <w:kern w:val="2"/>
          <w:sz w:val="32"/>
          <w:szCs w:val="32"/>
        </w:rPr>
        <w:t>六、</w:t>
      </w:r>
      <w:bookmarkEnd w:id="81"/>
      <w:bookmarkEnd w:id="82"/>
      <w:bookmarkEnd w:id="83"/>
      <w:r>
        <w:rPr>
          <w:rFonts w:hint="eastAsia" w:ascii="黑体" w:hAnsi="黑体" w:eastAsia="黑体" w:cs="黑体"/>
          <w:kern w:val="2"/>
          <w:sz w:val="32"/>
          <w:szCs w:val="32"/>
        </w:rPr>
        <w:t>采购执行说明</w:t>
      </w:r>
      <w:bookmarkEnd w:id="84"/>
    </w:p>
    <w:p>
      <w:pPr>
        <w:adjustRightInd w:val="0"/>
        <w:snapToGrid w:val="0"/>
        <w:spacing w:line="560" w:lineRule="exact"/>
        <w:ind w:left="0" w:firstLine="640" w:firstLineChars="200"/>
        <w:jc w:val="both"/>
        <w:rPr>
          <w:rFonts w:ascii="仿宋_GB2312" w:hAnsi="仿宋_GB2312" w:eastAsia="仿宋_GB2312" w:cs="仿宋_GB2312"/>
          <w:sz w:val="32"/>
          <w:szCs w:val="32"/>
        </w:rPr>
      </w:pPr>
      <w:bookmarkStart w:id="85" w:name="_Toc28901"/>
      <w:r>
        <w:rPr>
          <w:rFonts w:hint="eastAsia" w:ascii="仿宋_GB2312" w:eastAsia="仿宋_GB2312" w:cstheme="minorBidi"/>
          <w:kern w:val="2"/>
          <w:sz w:val="32"/>
          <w:szCs w:val="32"/>
        </w:rPr>
        <w:t>（一）</w:t>
      </w:r>
      <w:bookmarkStart w:id="86" w:name="_Hlk110099321"/>
      <w:r>
        <w:rPr>
          <w:rFonts w:hint="eastAsia" w:ascii="仿宋_GB2312" w:hAnsi="仿宋_GB2312" w:eastAsia="仿宋_GB2312" w:cs="仿宋_GB2312"/>
          <w:sz w:val="32"/>
          <w:szCs w:val="32"/>
        </w:rPr>
        <w:t>中选竞争单元中的申报产品作为中选产品，直接转为价格优势专区产品。</w:t>
      </w:r>
      <w:bookmarkEnd w:id="86"/>
    </w:p>
    <w:p>
      <w:pPr>
        <w:adjustRightInd w:val="0"/>
        <w:snapToGrid w:val="0"/>
        <w:spacing w:line="560" w:lineRule="exact"/>
        <w:ind w:left="0" w:firstLine="640" w:firstLineChars="200"/>
        <w:jc w:val="both"/>
        <w:rPr>
          <w:rFonts w:ascii="仿宋_GB2312" w:eastAsia="仿宋_GB2312" w:hAnsiTheme="minorHAnsi" w:cstheme="minorBidi"/>
          <w:kern w:val="2"/>
          <w:sz w:val="32"/>
          <w:szCs w:val="32"/>
        </w:rPr>
      </w:pPr>
      <w:r>
        <w:rPr>
          <w:rFonts w:hint="eastAsia" w:ascii="仿宋_GB2312" w:eastAsia="仿宋_GB2312" w:cstheme="minorBidi"/>
          <w:kern w:val="2"/>
          <w:sz w:val="32"/>
          <w:szCs w:val="32"/>
        </w:rPr>
        <w:t>（二）谈判结果执行周期内，各医疗机构优先采购价格优势专区内的产品。</w:t>
      </w:r>
      <w:r>
        <w:rPr>
          <w:rFonts w:hint="eastAsia" w:ascii="仿宋_GB2312" w:hAnsi="仿宋_GB2312" w:eastAsia="仿宋_GB2312" w:cs="仿宋_GB2312"/>
          <w:sz w:val="32"/>
          <w:szCs w:val="32"/>
        </w:rPr>
        <w:t>交易中心</w:t>
      </w:r>
      <w:r>
        <w:rPr>
          <w:rFonts w:hint="eastAsia" w:ascii="仿宋_GB2312" w:eastAsia="仿宋_GB2312" w:hAnsiTheme="minorHAnsi" w:cstheme="minorBidi"/>
          <w:kern w:val="2"/>
          <w:sz w:val="32"/>
          <w:szCs w:val="32"/>
        </w:rPr>
        <w:t>重点监测各医疗机构采购价格优势专区产品情况并定期报告。</w:t>
      </w:r>
    </w:p>
    <w:p>
      <w:pPr>
        <w:adjustRightInd w:val="0"/>
        <w:snapToGrid w:val="0"/>
        <w:spacing w:line="560" w:lineRule="exact"/>
        <w:ind w:left="0" w:firstLine="640" w:firstLineChars="200"/>
        <w:jc w:val="both"/>
        <w:rPr>
          <w:rFonts w:ascii="仿宋_GB2312" w:eastAsia="仿宋_GB2312"/>
          <w:sz w:val="32"/>
          <w:szCs w:val="32"/>
        </w:rPr>
      </w:pPr>
      <w:r>
        <w:rPr>
          <w:rFonts w:hint="eastAsia" w:ascii="仿宋_GB2312" w:eastAsia="仿宋_GB2312"/>
          <w:sz w:val="32"/>
          <w:szCs w:val="32"/>
        </w:rPr>
        <w:t>谈判结果执行周期结束后，中选企业仍愿按不高于中选价格继续供应的，相关产品自动留在价格优势专区；企业不愿按不高于中选价格继续供应的，应在执行周期期满前一个月，就本企业专区产品向交易中心主动申请退出价格优势专区，中选企业未主动申请退出价格优势专区的，视为中选企业自愿将相关产品留在价格优势专区并按不高于中选价格进行供应。若专区产品联动后的价格低于中选价格的，按联动后的价格进行供应。</w:t>
      </w:r>
    </w:p>
    <w:p>
      <w:pPr>
        <w:adjustRightInd w:val="0"/>
        <w:snapToGrid w:val="0"/>
        <w:spacing w:line="560" w:lineRule="exact"/>
        <w:ind w:left="0" w:firstLine="640" w:firstLineChars="200"/>
        <w:jc w:val="both"/>
        <w:rPr>
          <w:rFonts w:ascii="仿宋_GB2312" w:hAnsi="Calibri" w:eastAsia="仿宋_GB2312"/>
          <w:sz w:val="32"/>
          <w:szCs w:val="32"/>
        </w:rPr>
      </w:pPr>
      <w:r>
        <w:rPr>
          <w:rFonts w:hint="eastAsia" w:ascii="仿宋_GB2312" w:eastAsia="仿宋_GB2312"/>
          <w:sz w:val="32"/>
          <w:szCs w:val="32"/>
        </w:rPr>
        <w:t>谈判结果执行周期结束后，交易中心可以根据工作需要，在征得</w:t>
      </w:r>
      <w:r>
        <w:rPr>
          <w:rFonts w:hint="eastAsia" w:ascii="仿宋_GB2312" w:eastAsia="仿宋_GB2312" w:cstheme="minorBidi"/>
          <w:kern w:val="2"/>
          <w:sz w:val="32"/>
          <w:szCs w:val="32"/>
        </w:rPr>
        <w:t>市医疗保障部门</w:t>
      </w:r>
      <w:r>
        <w:rPr>
          <w:rFonts w:hint="eastAsia" w:ascii="仿宋_GB2312" w:eastAsia="仿宋_GB2312"/>
          <w:sz w:val="32"/>
          <w:szCs w:val="32"/>
        </w:rPr>
        <w:t>同意后将相关产品移出价格优势专区。</w:t>
      </w:r>
    </w:p>
    <w:p>
      <w:pPr>
        <w:adjustRightInd w:val="0"/>
        <w:snapToGrid w:val="0"/>
        <w:spacing w:line="560" w:lineRule="exact"/>
        <w:ind w:left="0" w:firstLine="640" w:firstLineChars="200"/>
        <w:jc w:val="both"/>
        <w:rPr>
          <w:rFonts w:ascii="仿宋_GB2312" w:eastAsia="仿宋_GB2312"/>
          <w:sz w:val="32"/>
          <w:szCs w:val="32"/>
        </w:rPr>
      </w:pPr>
      <w:r>
        <w:rPr>
          <w:rFonts w:hint="eastAsia" w:ascii="仿宋_GB2312" w:eastAsia="仿宋_GB2312"/>
          <w:sz w:val="32"/>
          <w:szCs w:val="32"/>
        </w:rPr>
        <w:t>（三）对于价格优势专区产品，医疗机构直接下订单采购，无需再进行议价，交易各方签订线上采</w:t>
      </w:r>
      <w:r>
        <w:rPr>
          <w:rFonts w:hint="eastAsia" w:ascii="仿宋_GB2312" w:eastAsia="仿宋_GB2312" w:cstheme="minorBidi"/>
          <w:kern w:val="2"/>
          <w:sz w:val="32"/>
          <w:szCs w:val="32"/>
        </w:rPr>
        <w:t>购合同并执</w:t>
      </w:r>
      <w:r>
        <w:rPr>
          <w:rFonts w:hint="eastAsia" w:ascii="仿宋_GB2312" w:eastAsia="仿宋_GB2312"/>
          <w:sz w:val="32"/>
          <w:szCs w:val="32"/>
        </w:rPr>
        <w:t>行。</w:t>
      </w:r>
    </w:p>
    <w:p>
      <w:pPr>
        <w:adjustRightInd w:val="0"/>
        <w:snapToGrid w:val="0"/>
        <w:spacing w:line="560" w:lineRule="exact"/>
        <w:ind w:left="0" w:firstLine="640" w:firstLineChars="200"/>
        <w:jc w:val="both"/>
        <w:rPr>
          <w:rFonts w:ascii="仿宋_GB2312" w:hAnsi="inherit" w:eastAsia="仿宋_GB2312" w:cs="宋体"/>
          <w:sz w:val="32"/>
          <w:szCs w:val="32"/>
        </w:rPr>
      </w:pPr>
      <w:r>
        <w:rPr>
          <w:rFonts w:hint="eastAsia" w:ascii="仿宋_GB2312" w:eastAsia="仿宋_GB2312"/>
          <w:sz w:val="32"/>
          <w:szCs w:val="32"/>
        </w:rPr>
        <w:t>（四）采购合同签订后，采购主体与中</w:t>
      </w:r>
      <w:r>
        <w:rPr>
          <w:rFonts w:hint="eastAsia" w:ascii="仿宋_GB2312" w:hAnsi="inherit" w:eastAsia="仿宋_GB2312" w:cs="宋体"/>
          <w:sz w:val="32"/>
          <w:szCs w:val="32"/>
        </w:rPr>
        <w:t>选企业不得再订立背离采购合同实质性内容的其他协议或提出除采购合同之外的任何利益性要求。</w:t>
      </w:r>
    </w:p>
    <w:p>
      <w:pPr>
        <w:adjustRightInd w:val="0"/>
        <w:snapToGrid w:val="0"/>
        <w:spacing w:line="560" w:lineRule="exact"/>
        <w:ind w:left="0" w:firstLine="640" w:firstLineChars="200"/>
        <w:jc w:val="both"/>
        <w:rPr>
          <w:rFonts w:ascii="仿宋_GB2312" w:eastAsia="仿宋_GB2312" w:cstheme="minorBidi"/>
          <w:kern w:val="2"/>
          <w:sz w:val="32"/>
          <w:szCs w:val="32"/>
        </w:rPr>
      </w:pPr>
      <w:r>
        <w:rPr>
          <w:rFonts w:hint="eastAsia" w:ascii="仿宋_GB2312" w:eastAsia="仿宋_GB2312" w:cstheme="minorBidi"/>
          <w:kern w:val="2"/>
          <w:sz w:val="32"/>
          <w:szCs w:val="32"/>
        </w:rPr>
        <w:t>（五）对于医疗机构在采的专区医用耗材产品，年度采购量原则上不得低于上年度采购量。</w:t>
      </w:r>
    </w:p>
    <w:p>
      <w:pPr>
        <w:adjustRightInd w:val="0"/>
        <w:snapToGrid w:val="0"/>
        <w:spacing w:line="560" w:lineRule="exact"/>
        <w:ind w:left="0" w:firstLine="640" w:firstLineChars="200"/>
        <w:jc w:val="both"/>
        <w:rPr>
          <w:rFonts w:ascii="仿宋_GB2312" w:eastAsia="仿宋_GB2312" w:cstheme="minorBidi"/>
          <w:kern w:val="2"/>
          <w:sz w:val="32"/>
          <w:szCs w:val="32"/>
        </w:rPr>
      </w:pPr>
      <w:r>
        <w:rPr>
          <w:rFonts w:hint="eastAsia" w:ascii="仿宋_GB2312" w:eastAsia="仿宋_GB2312" w:cstheme="minorBidi"/>
          <w:kern w:val="2"/>
          <w:sz w:val="32"/>
          <w:szCs w:val="32"/>
        </w:rPr>
        <w:t>（六）</w:t>
      </w:r>
      <w:bookmarkStart w:id="87" w:name="_Hlk102319734"/>
      <w:r>
        <w:rPr>
          <w:rFonts w:hint="eastAsia" w:ascii="仿宋_GB2312" w:eastAsia="仿宋_GB2312" w:cstheme="minorBidi"/>
          <w:kern w:val="2"/>
          <w:sz w:val="32"/>
          <w:szCs w:val="32"/>
        </w:rPr>
        <w:t>中选企业不得增加或删减中选产品的规格型号，且</w:t>
      </w:r>
      <w:bookmarkStart w:id="88" w:name="_Hlk103595537"/>
      <w:r>
        <w:rPr>
          <w:rFonts w:hint="eastAsia" w:ascii="仿宋_GB2312" w:eastAsia="仿宋_GB2312" w:cstheme="minorBidi"/>
          <w:kern w:val="2"/>
          <w:sz w:val="32"/>
          <w:szCs w:val="32"/>
        </w:rPr>
        <w:t>应当保证产品中选前后质量和配置的一致性。</w:t>
      </w:r>
      <w:bookmarkEnd w:id="87"/>
      <w:bookmarkEnd w:id="88"/>
    </w:p>
    <w:p>
      <w:pPr>
        <w:spacing w:line="560" w:lineRule="exact"/>
        <w:ind w:firstLine="645"/>
        <w:jc w:val="both"/>
        <w:outlineLvl w:val="1"/>
        <w:rPr>
          <w:rFonts w:ascii="黑体" w:hAnsi="黑体" w:eastAsia="黑体" w:cs="黑体"/>
          <w:kern w:val="2"/>
          <w:sz w:val="32"/>
          <w:szCs w:val="32"/>
        </w:rPr>
      </w:pPr>
      <w:bookmarkStart w:id="89" w:name="_Toc13785"/>
      <w:bookmarkStart w:id="90" w:name="_Hlk102319531"/>
      <w:r>
        <w:rPr>
          <w:rFonts w:hint="eastAsia" w:ascii="黑体" w:hAnsi="黑体" w:eastAsia="黑体" w:cs="黑体"/>
          <w:kern w:val="2"/>
          <w:sz w:val="32"/>
          <w:szCs w:val="32"/>
        </w:rPr>
        <w:t>七、动态调整机制</w:t>
      </w:r>
      <w:bookmarkEnd w:id="89"/>
    </w:p>
    <w:p>
      <w:pPr>
        <w:adjustRightInd w:val="0"/>
        <w:snapToGrid w:val="0"/>
        <w:spacing w:line="560" w:lineRule="exact"/>
        <w:ind w:left="0" w:firstLine="640" w:firstLineChars="200"/>
        <w:jc w:val="both"/>
        <w:rPr>
          <w:rFonts w:ascii="仿宋_GB2312" w:eastAsia="仿宋_GB2312" w:cstheme="minorBidi"/>
          <w:kern w:val="2"/>
          <w:sz w:val="32"/>
          <w:szCs w:val="32"/>
        </w:rPr>
      </w:pPr>
      <w:r>
        <w:rPr>
          <w:rFonts w:hint="eastAsia" w:ascii="仿宋_GB2312" w:eastAsia="仿宋_GB2312" w:cstheme="minorBidi"/>
          <w:kern w:val="2"/>
          <w:sz w:val="32"/>
          <w:szCs w:val="32"/>
        </w:rPr>
        <w:t>（一）</w:t>
      </w:r>
      <w:bookmarkStart w:id="91" w:name="_Hlk110099423"/>
      <w:r>
        <w:rPr>
          <w:rFonts w:hint="eastAsia" w:ascii="仿宋_GB2312" w:eastAsia="仿宋_GB2312" w:cstheme="minorBidi"/>
          <w:kern w:val="2"/>
          <w:sz w:val="32"/>
          <w:szCs w:val="32"/>
        </w:rPr>
        <w:t>交易中心已经在谈判公告中明确将2021年7月1日至2022年6月30日期间在深圳公立医疗机构有采购记录的中心静脉导管（PICC）产品纳入本次价格谈判邀请范围，</w:t>
      </w:r>
      <w:r>
        <w:rPr>
          <w:rFonts w:hint="eastAsia" w:ascii="仿宋_GB2312" w:hAnsi="仿宋_GB2312" w:eastAsia="仿宋_GB2312" w:cs="仿宋_GB2312"/>
          <w:sz w:val="32"/>
          <w:szCs w:val="32"/>
        </w:rPr>
        <w:t>未纳入邀请范围但在本次谈判范围内的产品亦可参与。</w:t>
      </w:r>
      <w:r>
        <w:rPr>
          <w:rFonts w:hint="eastAsia" w:ascii="仿宋_GB2312" w:eastAsia="仿宋_GB2312" w:cstheme="minorBidi"/>
          <w:kern w:val="2"/>
          <w:sz w:val="32"/>
          <w:szCs w:val="32"/>
        </w:rPr>
        <w:t>中选结果执行后，交易中心可以在深圳阳光平台对未中选产品和邀请名单内的未报名产品进行专门标识，这些产品不纳入价格优势专区，但仍可进行挂网议价采购。</w:t>
      </w:r>
      <w:bookmarkEnd w:id="91"/>
    </w:p>
    <w:p>
      <w:pPr>
        <w:adjustRightInd w:val="0"/>
        <w:snapToGrid w:val="0"/>
        <w:spacing w:line="560" w:lineRule="exact"/>
        <w:ind w:left="0" w:firstLine="640" w:firstLineChars="200"/>
        <w:jc w:val="both"/>
        <w:rPr>
          <w:rFonts w:ascii="仿宋_GB2312" w:eastAsia="仿宋_GB2312" w:cstheme="minorBidi"/>
          <w:kern w:val="2"/>
          <w:sz w:val="32"/>
          <w:szCs w:val="32"/>
        </w:rPr>
      </w:pPr>
      <w:r>
        <w:rPr>
          <w:rFonts w:hint="eastAsia" w:ascii="仿宋_GB2312" w:eastAsia="仿宋_GB2312" w:cstheme="minorBidi"/>
          <w:kern w:val="2"/>
          <w:sz w:val="32"/>
          <w:szCs w:val="32"/>
        </w:rPr>
        <w:t>（二）</w:t>
      </w:r>
      <w:bookmarkStart w:id="92" w:name="_Hlk110099441"/>
      <w:r>
        <w:rPr>
          <w:rFonts w:hint="eastAsia" w:ascii="仿宋_GB2312" w:eastAsia="仿宋_GB2312" w:cstheme="minorBidi"/>
          <w:kern w:val="2"/>
          <w:sz w:val="32"/>
          <w:szCs w:val="32"/>
        </w:rPr>
        <w:t>交易中心将常态化开展医用耗材最低价格跟踪确定。价格优势专区的产品依照平台规则确定的平台参考限价低于</w:t>
      </w:r>
      <w:r>
        <w:rPr>
          <w:rFonts w:hint="eastAsia" w:ascii="仿宋_GB2312" w:hAnsi="仿宋_GB2312" w:eastAsia="仿宋_GB2312" w:cs="仿宋_GB2312"/>
          <w:sz w:val="32"/>
          <w:szCs w:val="32"/>
        </w:rPr>
        <w:t>中选价格</w:t>
      </w:r>
      <w:r>
        <w:rPr>
          <w:rFonts w:hint="eastAsia" w:ascii="仿宋_GB2312" w:eastAsia="仿宋_GB2312" w:cstheme="minorBidi"/>
          <w:kern w:val="2"/>
          <w:sz w:val="32"/>
          <w:szCs w:val="32"/>
        </w:rPr>
        <w:t>时，或者在深圳阳光平台出现新的最低实际成交价格时，或者医疗机构自行组织、联合组织的医用耗材采购中标价格低于专区价格时，交易中心审核确认后将进行产品价格联动。</w:t>
      </w:r>
      <w:bookmarkEnd w:id="92"/>
    </w:p>
    <w:p>
      <w:pPr>
        <w:adjustRightInd w:val="0"/>
        <w:snapToGrid w:val="0"/>
        <w:spacing w:line="560" w:lineRule="exact"/>
        <w:ind w:left="0" w:firstLine="640" w:firstLineChars="200"/>
        <w:jc w:val="both"/>
        <w:rPr>
          <w:rFonts w:ascii="仿宋_GB2312" w:eastAsia="仿宋_GB2312" w:cstheme="minorBidi"/>
          <w:kern w:val="2"/>
          <w:sz w:val="32"/>
          <w:szCs w:val="32"/>
        </w:rPr>
      </w:pPr>
      <w:r>
        <w:rPr>
          <w:rFonts w:hint="eastAsia" w:ascii="仿宋_GB2312" w:eastAsia="仿宋_GB2312" w:cstheme="minorBidi"/>
          <w:kern w:val="2"/>
          <w:sz w:val="32"/>
          <w:szCs w:val="32"/>
        </w:rPr>
        <w:t>（三）</w:t>
      </w:r>
      <w:bookmarkStart w:id="93" w:name="_Hlk110099469"/>
      <w:r>
        <w:rPr>
          <w:rFonts w:hint="eastAsia" w:ascii="仿宋_GB2312" w:eastAsia="仿宋_GB2312"/>
          <w:sz w:val="32"/>
          <w:szCs w:val="32"/>
        </w:rPr>
        <w:t>中选竞争单元出现下列第一种情形的，交易中心可以撤销其价格优势专区挂网资格；出现下列第二、三、四种情形的，除可以撤销其价格优势专区挂网资格外，交易中心还可以同步取消深圳阳光平台一年内的挂网（议价）采购资格</w:t>
      </w:r>
      <w:r>
        <w:rPr>
          <w:rFonts w:hint="eastAsia" w:ascii="仿宋_GB2312" w:hAnsi="仿宋_GB2312" w:eastAsia="仿宋_GB2312" w:cs="仿宋_GB2312"/>
          <w:sz w:val="32"/>
          <w:szCs w:val="32"/>
        </w:rPr>
        <w:t>（价格优势专区产品出现下列情形即视为对应的中选竞争单元整体出现以下情形）</w:t>
      </w:r>
      <w:r>
        <w:rPr>
          <w:rFonts w:hint="eastAsia" w:ascii="仿宋_GB2312" w:eastAsia="仿宋_GB2312"/>
          <w:sz w:val="32"/>
          <w:szCs w:val="32"/>
        </w:rPr>
        <w:t>：</w:t>
      </w:r>
    </w:p>
    <w:p>
      <w:pPr>
        <w:spacing w:line="560" w:lineRule="exact"/>
        <w:ind w:left="360" w:leftChars="150" w:firstLine="278" w:firstLineChars="87"/>
        <w:jc w:val="both"/>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自中选结果执行之日起半年内无采购记录；</w:t>
      </w:r>
    </w:p>
    <w:p>
      <w:pPr>
        <w:spacing w:line="560" w:lineRule="exact"/>
        <w:ind w:left="360" w:leftChars="150" w:firstLine="278" w:firstLineChars="87"/>
        <w:jc w:val="both"/>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在执行周期内出现质量</w:t>
      </w:r>
      <w:r>
        <w:rPr>
          <w:rFonts w:hint="eastAsia" w:ascii="仿宋_GB2312" w:eastAsia="仿宋_GB2312"/>
          <w:sz w:val="32"/>
          <w:szCs w:val="32"/>
        </w:rPr>
        <w:t>问题或者</w:t>
      </w:r>
      <w:r>
        <w:rPr>
          <w:rFonts w:ascii="仿宋_GB2312" w:eastAsia="仿宋_GB2312"/>
          <w:sz w:val="32"/>
          <w:szCs w:val="32"/>
        </w:rPr>
        <w:t>供应问题；</w:t>
      </w:r>
    </w:p>
    <w:p>
      <w:pPr>
        <w:spacing w:line="560" w:lineRule="exact"/>
        <w:ind w:left="360" w:leftChars="150" w:firstLine="278" w:firstLineChars="87"/>
        <w:jc w:val="both"/>
        <w:rPr>
          <w:rFonts w:ascii="仿宋_GB2312" w:eastAsia="仿宋_GB2312"/>
          <w:sz w:val="32"/>
          <w:szCs w:val="32"/>
        </w:rPr>
      </w:pPr>
      <w:r>
        <w:rPr>
          <w:rFonts w:hint="eastAsia" w:ascii="仿宋_GB2312" w:eastAsia="仿宋_GB2312"/>
          <w:sz w:val="32"/>
          <w:szCs w:val="32"/>
        </w:rPr>
        <w:t>（3）拒绝接受价格联动；</w:t>
      </w:r>
    </w:p>
    <w:p>
      <w:pPr>
        <w:spacing w:line="560" w:lineRule="exact"/>
        <w:ind w:left="360" w:leftChars="150" w:firstLine="278" w:firstLineChars="87"/>
        <w:jc w:val="both"/>
        <w:rPr>
          <w:rFonts w:ascii="仿宋_GB2312" w:eastAsia="仿宋_GB2312"/>
          <w:sz w:val="32"/>
          <w:szCs w:val="32"/>
        </w:rPr>
      </w:pPr>
      <w:r>
        <w:rPr>
          <w:rFonts w:hint="eastAsia" w:ascii="仿宋_GB2312" w:eastAsia="仿宋_GB2312"/>
          <w:sz w:val="32"/>
          <w:szCs w:val="32"/>
        </w:rPr>
        <w:t>（4）</w:t>
      </w:r>
      <w:bookmarkStart w:id="94" w:name="_Hlk103595424"/>
      <w:r>
        <w:rPr>
          <w:rFonts w:hint="eastAsia" w:ascii="仿宋_GB2312" w:eastAsia="仿宋_GB2312"/>
          <w:sz w:val="32"/>
          <w:szCs w:val="32"/>
        </w:rPr>
        <w:t>质量或者配置等方面低于中选前供货标准。</w:t>
      </w:r>
      <w:bookmarkEnd w:id="94"/>
    </w:p>
    <w:p>
      <w:pPr>
        <w:spacing w:line="560" w:lineRule="exact"/>
        <w:ind w:left="0" w:firstLine="640" w:firstLineChars="200"/>
        <w:jc w:val="both"/>
        <w:rPr>
          <w:rFonts w:ascii="仿宋_GB2312" w:eastAsia="仿宋_GB2312"/>
          <w:sz w:val="32"/>
          <w:szCs w:val="32"/>
        </w:rPr>
      </w:pPr>
      <w:r>
        <w:rPr>
          <w:rFonts w:hint="eastAsia" w:ascii="仿宋_GB2312" w:eastAsia="仿宋_GB2312"/>
          <w:sz w:val="32"/>
          <w:szCs w:val="32"/>
        </w:rPr>
        <w:t>以被撤销挂网的</w:t>
      </w:r>
      <w:r>
        <w:rPr>
          <w:rFonts w:hint="eastAsia" w:ascii="仿宋_GB2312" w:hAnsi="仿宋_GB2312" w:eastAsia="仿宋_GB2312" w:cs="仿宋_GB2312"/>
          <w:sz w:val="32"/>
          <w:szCs w:val="32"/>
        </w:rPr>
        <w:t>中选竞争单元</w:t>
      </w:r>
      <w:r>
        <w:rPr>
          <w:rFonts w:hint="eastAsia" w:ascii="仿宋_GB2312" w:eastAsia="仿宋_GB2312"/>
          <w:sz w:val="32"/>
          <w:szCs w:val="32"/>
        </w:rPr>
        <w:t>数量为限额，同类备选竞争单元</w:t>
      </w:r>
      <w:r>
        <w:rPr>
          <w:rFonts w:ascii="仿宋_GB2312" w:eastAsia="仿宋_GB2312"/>
          <w:sz w:val="32"/>
          <w:szCs w:val="32"/>
        </w:rPr>
        <w:t>按照顺序依次替补</w:t>
      </w:r>
      <w:r>
        <w:rPr>
          <w:rFonts w:hint="eastAsia" w:ascii="仿宋_GB2312" w:eastAsia="仿宋_GB2312"/>
          <w:sz w:val="32"/>
          <w:szCs w:val="32"/>
        </w:rPr>
        <w:t>获得深圳阳光平台价格优势专区的挂网资格</w:t>
      </w:r>
      <w:bookmarkStart w:id="95" w:name="_Hlk103595441"/>
      <w:r>
        <w:rPr>
          <w:rFonts w:hint="eastAsia" w:ascii="仿宋_GB2312" w:eastAsia="仿宋_GB2312"/>
          <w:sz w:val="32"/>
          <w:szCs w:val="32"/>
        </w:rPr>
        <w:t>（交易中心定期进行操作）</w:t>
      </w:r>
      <w:bookmarkEnd w:id="95"/>
      <w:r>
        <w:rPr>
          <w:rFonts w:hint="eastAsia" w:ascii="仿宋_GB2312" w:eastAsia="仿宋_GB2312"/>
          <w:sz w:val="32"/>
          <w:szCs w:val="32"/>
        </w:rPr>
        <w:t>。被撤销</w:t>
      </w:r>
      <w:r>
        <w:rPr>
          <w:rFonts w:ascii="仿宋_GB2312" w:eastAsia="仿宋_GB2312"/>
          <w:sz w:val="32"/>
          <w:szCs w:val="32"/>
        </w:rPr>
        <w:t>挂网</w:t>
      </w:r>
      <w:r>
        <w:rPr>
          <w:rFonts w:hint="eastAsia" w:ascii="仿宋_GB2312" w:eastAsia="仿宋_GB2312"/>
          <w:sz w:val="32"/>
          <w:szCs w:val="32"/>
        </w:rPr>
        <w:t>资格中选竞争单元的谈判企业，其同类其他竞争单元自动丧失替补资格。</w:t>
      </w:r>
    </w:p>
    <w:p>
      <w:pPr>
        <w:spacing w:line="560" w:lineRule="exact"/>
        <w:ind w:left="0" w:firstLine="640" w:firstLineChars="200"/>
        <w:jc w:val="both"/>
        <w:rPr>
          <w:rFonts w:ascii="仿宋_GB2312" w:eastAsia="仿宋_GB2312"/>
          <w:sz w:val="32"/>
          <w:szCs w:val="32"/>
        </w:rPr>
      </w:pPr>
      <w:r>
        <w:rPr>
          <w:rFonts w:ascii="仿宋_GB2312" w:eastAsia="仿宋_GB2312"/>
          <w:sz w:val="32"/>
          <w:szCs w:val="32"/>
        </w:rPr>
        <w:t>拟替补结果在深圳阳光平台公示三个工作日并接受相关申（投）诉</w:t>
      </w:r>
      <w:r>
        <w:rPr>
          <w:rFonts w:hint="eastAsia" w:ascii="仿宋_GB2312" w:eastAsia="仿宋_GB2312"/>
          <w:sz w:val="32"/>
          <w:szCs w:val="32"/>
        </w:rPr>
        <w:t>，具体参照拟中选结果申（投）诉处理程序执行。</w:t>
      </w:r>
      <w:bookmarkEnd w:id="93"/>
    </w:p>
    <w:bookmarkEnd w:id="90"/>
    <w:p>
      <w:pPr>
        <w:spacing w:line="560" w:lineRule="exact"/>
        <w:ind w:left="0" w:firstLine="640" w:firstLineChars="200"/>
        <w:jc w:val="both"/>
        <w:outlineLvl w:val="1"/>
        <w:rPr>
          <w:rFonts w:ascii="黑体" w:hAnsi="黑体" w:eastAsia="黑体" w:cs="黑体"/>
          <w:kern w:val="2"/>
          <w:sz w:val="32"/>
          <w:szCs w:val="32"/>
        </w:rPr>
      </w:pPr>
      <w:bookmarkStart w:id="96" w:name="_Toc23077"/>
      <w:bookmarkStart w:id="97" w:name="_Toc1053"/>
      <w:bookmarkStart w:id="98" w:name="_Toc20413"/>
      <w:r>
        <w:rPr>
          <w:rFonts w:hint="eastAsia" w:ascii="黑体" w:hAnsi="黑体" w:eastAsia="黑体" w:cs="黑体"/>
          <w:kern w:val="2"/>
          <w:sz w:val="32"/>
          <w:szCs w:val="32"/>
        </w:rPr>
        <w:t>八、交易管理</w:t>
      </w:r>
      <w:bookmarkEnd w:id="85"/>
      <w:bookmarkEnd w:id="96"/>
      <w:bookmarkEnd w:id="97"/>
      <w:bookmarkEnd w:id="98"/>
    </w:p>
    <w:p>
      <w:pPr>
        <w:adjustRightInd w:val="0"/>
        <w:snapToGrid w:val="0"/>
        <w:spacing w:line="560" w:lineRule="exact"/>
        <w:ind w:left="0" w:firstLine="640" w:firstLineChars="200"/>
        <w:jc w:val="both"/>
        <w:rPr>
          <w:rFonts w:ascii="仿宋_GB2312" w:eastAsia="仿宋_GB2312" w:cstheme="minorBidi"/>
          <w:kern w:val="2"/>
          <w:sz w:val="32"/>
          <w:szCs w:val="32"/>
        </w:rPr>
      </w:pPr>
      <w:r>
        <w:rPr>
          <w:rFonts w:hint="eastAsia" w:ascii="仿宋_GB2312" w:eastAsia="仿宋_GB2312" w:cstheme="minorBidi"/>
          <w:kern w:val="2"/>
          <w:sz w:val="32"/>
          <w:szCs w:val="32"/>
        </w:rPr>
        <w:t>（一）中选企业可将医用耗材直接配送给医疗机构，也可委托配送企业配送。企业委托配送企业配送的，原则上单个产品配送企业不超过3家，且应选择配送能力强、信誉度好、服务优良的配送企业，并充分考虑医疗机构对其服务质量、服务信誉的认同程度等。</w:t>
      </w:r>
    </w:p>
    <w:p>
      <w:pPr>
        <w:adjustRightInd w:val="0"/>
        <w:snapToGrid w:val="0"/>
        <w:spacing w:line="560" w:lineRule="exact"/>
        <w:ind w:left="0" w:firstLine="640" w:firstLineChars="200"/>
        <w:jc w:val="both"/>
        <w:rPr>
          <w:rFonts w:ascii="仿宋_GB2312" w:eastAsia="仿宋_GB2312" w:cstheme="minorBidi"/>
          <w:kern w:val="2"/>
          <w:sz w:val="32"/>
          <w:szCs w:val="32"/>
        </w:rPr>
      </w:pPr>
      <w:r>
        <w:rPr>
          <w:rFonts w:hint="eastAsia" w:ascii="仿宋_GB2312" w:eastAsia="仿宋_GB2312" w:cstheme="minorBidi"/>
          <w:kern w:val="2"/>
          <w:sz w:val="32"/>
          <w:szCs w:val="32"/>
        </w:rPr>
        <w:t>（二）中选企业对价格优势专区医用耗材产品质量和供应负责，一旦中选，作为供应保障的第一责任人，应加强产品质量控制，在保障医用耗材产品质量的前提下满足全市采购需求。接受委托的配送企业应及时响应医疗机构订单，确保医用耗材在规定时间内足量保质配送给医疗机构。</w:t>
      </w:r>
    </w:p>
    <w:p>
      <w:pPr>
        <w:adjustRightInd w:val="0"/>
        <w:snapToGrid w:val="0"/>
        <w:spacing w:line="560" w:lineRule="exact"/>
        <w:ind w:left="0" w:firstLine="640" w:firstLineChars="200"/>
        <w:jc w:val="both"/>
        <w:rPr>
          <w:rFonts w:ascii="仿宋_GB2312" w:eastAsia="仿宋_GB2312" w:cstheme="minorBidi"/>
          <w:kern w:val="2"/>
          <w:sz w:val="32"/>
          <w:szCs w:val="32"/>
        </w:rPr>
      </w:pPr>
      <w:r>
        <w:rPr>
          <w:rFonts w:hint="eastAsia" w:ascii="仿宋_GB2312" w:eastAsia="仿宋_GB2312" w:cstheme="minorBidi"/>
          <w:kern w:val="2"/>
          <w:sz w:val="32"/>
          <w:szCs w:val="32"/>
        </w:rPr>
        <w:t>（三）医疗机构、中选企业和配送企业签订线上采购合同。中选企业和配送企业根据采购合同约定，及时响应订单，做好产品配送、发票开具、票据上传及售后服务等工作。医疗机构应通过深圳阳光平台采购价格优势专区产品，按采购合同约定做好收货、验收、发票核验等工作并及时支付货款。</w:t>
      </w:r>
    </w:p>
    <w:p>
      <w:pPr>
        <w:adjustRightInd w:val="0"/>
        <w:snapToGrid w:val="0"/>
        <w:spacing w:line="560" w:lineRule="exact"/>
        <w:ind w:left="0" w:firstLine="640" w:firstLineChars="200"/>
        <w:jc w:val="both"/>
        <w:rPr>
          <w:rFonts w:ascii="仿宋_GB2312" w:eastAsia="仿宋_GB2312" w:cstheme="minorBidi"/>
          <w:kern w:val="2"/>
          <w:sz w:val="32"/>
          <w:szCs w:val="32"/>
        </w:rPr>
      </w:pPr>
      <w:r>
        <w:rPr>
          <w:rFonts w:hint="eastAsia" w:ascii="仿宋_GB2312" w:eastAsia="仿宋_GB2312" w:cstheme="minorBidi"/>
          <w:kern w:val="2"/>
          <w:sz w:val="32"/>
          <w:szCs w:val="32"/>
        </w:rPr>
        <w:t>（四）</w:t>
      </w:r>
      <w:r>
        <w:rPr>
          <w:rFonts w:hint="eastAsia" w:ascii="仿宋_GB2312" w:hAnsi="仿宋_GB2312" w:eastAsia="仿宋_GB2312" w:cs="仿宋_GB2312"/>
          <w:sz w:val="32"/>
          <w:szCs w:val="32"/>
        </w:rPr>
        <w:t>交易中心</w:t>
      </w:r>
      <w:r>
        <w:rPr>
          <w:rFonts w:hint="eastAsia" w:ascii="仿宋_GB2312" w:eastAsia="仿宋_GB2312" w:cstheme="minorBidi"/>
          <w:kern w:val="2"/>
          <w:sz w:val="32"/>
          <w:szCs w:val="32"/>
        </w:rPr>
        <w:t>加强对价格优势专区产品实际采购情况的采集监测，强化采购交易管理，及时纠正不良购销行为，保障专区采购平稳有序运行。</w:t>
      </w:r>
      <w:bookmarkStart w:id="99" w:name="_Toc28843"/>
    </w:p>
    <w:p>
      <w:pPr>
        <w:spacing w:line="560" w:lineRule="exact"/>
        <w:ind w:left="0" w:firstLine="640" w:firstLineChars="200"/>
        <w:jc w:val="both"/>
        <w:outlineLvl w:val="1"/>
        <w:rPr>
          <w:rFonts w:ascii="黑体" w:hAnsi="黑体" w:eastAsia="黑体" w:cs="黑体"/>
          <w:kern w:val="2"/>
          <w:sz w:val="32"/>
          <w:szCs w:val="32"/>
        </w:rPr>
      </w:pPr>
      <w:bookmarkStart w:id="100" w:name="_Toc15821"/>
      <w:bookmarkStart w:id="101" w:name="_Toc11022"/>
      <w:bookmarkStart w:id="102" w:name="_Toc4875"/>
      <w:r>
        <w:rPr>
          <w:rFonts w:hint="eastAsia" w:ascii="黑体" w:hAnsi="黑体" w:eastAsia="黑体" w:cs="黑体"/>
          <w:kern w:val="2"/>
          <w:sz w:val="32"/>
          <w:szCs w:val="32"/>
        </w:rPr>
        <w:t>九、其他</w:t>
      </w:r>
      <w:bookmarkEnd w:id="99"/>
      <w:bookmarkEnd w:id="100"/>
      <w:bookmarkEnd w:id="101"/>
      <w:bookmarkEnd w:id="102"/>
    </w:p>
    <w:p>
      <w:pPr>
        <w:adjustRightInd w:val="0"/>
        <w:snapToGrid w:val="0"/>
        <w:spacing w:line="560" w:lineRule="exact"/>
        <w:ind w:left="0" w:firstLine="640" w:firstLineChars="200"/>
        <w:jc w:val="both"/>
        <w:rPr>
          <w:rFonts w:ascii="仿宋_GB2312" w:eastAsia="仿宋_GB2312" w:cstheme="minorBidi"/>
          <w:kern w:val="2"/>
          <w:sz w:val="32"/>
          <w:szCs w:val="32"/>
        </w:rPr>
      </w:pPr>
      <w:r>
        <w:rPr>
          <w:rFonts w:hint="eastAsia" w:ascii="仿宋_GB2312" w:eastAsia="仿宋_GB2312" w:cstheme="minorBidi"/>
          <w:kern w:val="2"/>
          <w:sz w:val="32"/>
          <w:szCs w:val="32"/>
        </w:rPr>
        <w:t>（一）</w:t>
      </w:r>
      <w:bookmarkStart w:id="103" w:name="_Hlk102319935"/>
      <w:r>
        <w:rPr>
          <w:rFonts w:hint="eastAsia" w:ascii="仿宋_GB2312" w:eastAsia="仿宋_GB2312" w:cstheme="minorBidi"/>
          <w:kern w:val="2"/>
          <w:sz w:val="32"/>
          <w:szCs w:val="32"/>
        </w:rPr>
        <w:t>严格落实国家、广东省关于建立医药价格和招采信用评价制度的要求。对参与医用耗材阳光交易的企业在定价、投标、履约、营销等方面的失信行为，将予以上报评级，并按规定分级处置、处理。</w:t>
      </w:r>
      <w:bookmarkEnd w:id="103"/>
    </w:p>
    <w:p>
      <w:pPr>
        <w:adjustRightInd w:val="0"/>
        <w:snapToGrid w:val="0"/>
        <w:spacing w:line="560" w:lineRule="exact"/>
        <w:ind w:left="0" w:firstLine="640" w:firstLineChars="200"/>
        <w:jc w:val="both"/>
        <w:rPr>
          <w:rFonts w:ascii="仿宋_GB2312" w:eastAsia="仿宋_GB2312" w:cstheme="minorBidi"/>
          <w:kern w:val="2"/>
          <w:sz w:val="32"/>
          <w:szCs w:val="32"/>
        </w:rPr>
      </w:pPr>
      <w:r>
        <w:rPr>
          <w:rFonts w:hint="eastAsia" w:ascii="仿宋_GB2312" w:eastAsia="仿宋_GB2312" w:cstheme="minorBidi"/>
          <w:kern w:val="2"/>
          <w:sz w:val="32"/>
          <w:szCs w:val="32"/>
        </w:rPr>
        <w:t>（二）请相关企业密切留意本网站最新公告、通知。所有在深圳公共资源交易网站发布的公告、通知均视为有效送达。</w:t>
      </w:r>
    </w:p>
    <w:p>
      <w:pPr>
        <w:adjustRightInd w:val="0"/>
        <w:snapToGrid w:val="0"/>
        <w:spacing w:line="560" w:lineRule="exact"/>
        <w:ind w:left="0" w:firstLine="640" w:firstLineChars="200"/>
        <w:jc w:val="both"/>
        <w:rPr>
          <w:rFonts w:ascii="仿宋_GB2312" w:eastAsia="仿宋_GB2312" w:cstheme="minorBidi"/>
          <w:kern w:val="2"/>
          <w:sz w:val="32"/>
          <w:szCs w:val="32"/>
        </w:rPr>
      </w:pPr>
      <w:r>
        <w:rPr>
          <w:rFonts w:hint="eastAsia" w:ascii="仿宋_GB2312" w:eastAsia="仿宋_GB2312" w:cstheme="minorBidi"/>
          <w:kern w:val="2"/>
          <w:sz w:val="32"/>
          <w:szCs w:val="32"/>
        </w:rPr>
        <w:t>（三）若本采购文件、补充及说明、最新公告、通知等文件之间有冲突或不一致之处时，以最后发出的内容为准。</w:t>
      </w:r>
    </w:p>
    <w:p>
      <w:pPr>
        <w:adjustRightInd w:val="0"/>
        <w:snapToGrid w:val="0"/>
        <w:spacing w:line="560" w:lineRule="exact"/>
        <w:ind w:left="0" w:firstLine="640" w:firstLineChars="200"/>
        <w:jc w:val="both"/>
        <w:rPr>
          <w:rFonts w:ascii="仿宋_GB2312" w:eastAsia="仿宋_GB2312" w:cstheme="minorBidi"/>
          <w:kern w:val="2"/>
          <w:sz w:val="32"/>
          <w:szCs w:val="32"/>
        </w:rPr>
      </w:pPr>
      <w:r>
        <w:rPr>
          <w:rFonts w:hint="eastAsia" w:ascii="仿宋_GB2312" w:eastAsia="仿宋_GB2312" w:cstheme="minorBidi"/>
          <w:kern w:val="2"/>
          <w:sz w:val="32"/>
          <w:szCs w:val="32"/>
        </w:rPr>
        <w:t>（四）价格优势专区的产品如被纳入国家或广东省或深圳市组织集中带量采购的或有相关新政策规定的，从其规定。</w:t>
      </w:r>
      <w:bookmarkStart w:id="104" w:name="_Toc13926"/>
    </w:p>
    <w:p>
      <w:pPr>
        <w:adjustRightInd w:val="0"/>
        <w:snapToGrid w:val="0"/>
        <w:spacing w:line="560" w:lineRule="exact"/>
        <w:ind w:left="0" w:firstLine="640" w:firstLineChars="200"/>
        <w:jc w:val="both"/>
        <w:rPr>
          <w:rFonts w:ascii="仿宋_GB2312" w:hAnsi="仿宋_GB2312" w:eastAsia="仿宋_GB2312" w:cs="仿宋_GB2312"/>
          <w:sz w:val="32"/>
          <w:szCs w:val="32"/>
        </w:rPr>
      </w:pPr>
      <w:r>
        <w:rPr>
          <w:rFonts w:hint="eastAsia" w:ascii="仿宋_GB2312" w:eastAsia="仿宋_GB2312" w:cstheme="minorBidi"/>
          <w:kern w:val="2"/>
          <w:sz w:val="32"/>
          <w:szCs w:val="32"/>
        </w:rPr>
        <w:t>（五）</w:t>
      </w:r>
      <w:r>
        <w:rPr>
          <w:rFonts w:hint="eastAsia" w:ascii="仿宋_GB2312" w:hAnsi="仿宋_GB2312" w:eastAsia="仿宋_GB2312" w:cs="仿宋_GB2312"/>
          <w:sz w:val="32"/>
          <w:szCs w:val="32"/>
        </w:rPr>
        <w:t>申报企业在正式信息申报前应当将本采购文件附件1“承诺函”加盖公章后通过深圳阳光平台相关功能模块上传，本采购文件附件2“医疗机构医用耗材价格优势专区采购合同”将嵌入深圳阳光平台相关功能模块，直接用于签订中选产品采购合同。</w:t>
      </w:r>
    </w:p>
    <w:p>
      <w:pPr>
        <w:adjustRightInd w:val="0"/>
        <w:snapToGrid w:val="0"/>
        <w:spacing w:line="560" w:lineRule="exact"/>
        <w:ind w:left="0" w:firstLine="640" w:firstLineChars="200"/>
        <w:jc w:val="both"/>
      </w:pPr>
      <w:r>
        <w:rPr>
          <w:rFonts w:hint="eastAsia" w:ascii="仿宋_GB2312" w:eastAsia="仿宋_GB2312" w:cstheme="minorBidi"/>
          <w:kern w:val="2"/>
          <w:sz w:val="32"/>
          <w:szCs w:val="32"/>
        </w:rPr>
        <w:t>（六）本采购文件解释权归交易中心所有。</w:t>
      </w:r>
    </w:p>
    <w:p>
      <w:pPr>
        <w:spacing w:line="560" w:lineRule="exact"/>
        <w:jc w:val="both"/>
      </w:pPr>
      <w:bookmarkStart w:id="105" w:name="_Toc31724"/>
      <w:bookmarkStart w:id="106" w:name="_Toc27238"/>
      <w:r>
        <w:rPr>
          <w:rFonts w:ascii="方正小标宋简体" w:hAnsi="方正小标宋简体" w:eastAsia="方正小标宋简体" w:cs="方正小标宋简体"/>
          <w:kern w:val="2"/>
        </w:rPr>
        <w:br w:type="page"/>
      </w:r>
    </w:p>
    <w:p>
      <w:pPr>
        <w:pStyle w:val="3"/>
        <w:widowControl/>
        <w:spacing w:after="163" w:afterLines="50" w:line="560" w:lineRule="exact"/>
        <w:jc w:val="center"/>
        <w:rPr>
          <w:rFonts w:ascii="仿宋_GB2312" w:hAnsi="inherit" w:eastAsia="仿宋_GB2312" w:cs="宋体"/>
          <w:sz w:val="32"/>
          <w:szCs w:val="32"/>
        </w:rPr>
      </w:pPr>
      <w:bookmarkStart w:id="107" w:name="_Toc25632"/>
      <w:r>
        <w:rPr>
          <w:rFonts w:hint="eastAsia" w:ascii="方正小标宋简体" w:hAnsi="方正小标宋简体" w:eastAsia="方正小标宋简体" w:cs="方正小标宋简体"/>
          <w:b w:val="0"/>
          <w:bCs w:val="0"/>
          <w:kern w:val="2"/>
        </w:rPr>
        <w:t>第三部分 附件</w:t>
      </w:r>
      <w:bookmarkEnd w:id="105"/>
      <w:bookmarkEnd w:id="106"/>
      <w:bookmarkEnd w:id="107"/>
    </w:p>
    <w:p>
      <w:pPr>
        <w:pStyle w:val="3"/>
        <w:widowControl/>
        <w:spacing w:before="0" w:after="160" w:line="560" w:lineRule="exact"/>
        <w:ind w:left="0"/>
        <w:jc w:val="both"/>
        <w:rPr>
          <w:rFonts w:ascii="黑体" w:hAnsi="黑体" w:eastAsia="黑体" w:cs="黑体"/>
          <w:b w:val="0"/>
          <w:bCs w:val="0"/>
          <w:kern w:val="2"/>
          <w:sz w:val="32"/>
          <w:szCs w:val="28"/>
        </w:rPr>
      </w:pPr>
      <w:bookmarkStart w:id="108" w:name="_Toc12661"/>
      <w:bookmarkStart w:id="109" w:name="_Toc30226"/>
      <w:bookmarkStart w:id="110" w:name="_Toc29968"/>
      <w:bookmarkStart w:id="111" w:name="_Toc18854"/>
      <w:bookmarkStart w:id="112" w:name="_Toc28976"/>
      <w:r>
        <w:rPr>
          <w:rFonts w:hint="eastAsia" w:ascii="黑体" w:hAnsi="黑体" w:eastAsia="黑体" w:cs="黑体"/>
          <w:b w:val="0"/>
          <w:bCs w:val="0"/>
          <w:kern w:val="2"/>
          <w:sz w:val="32"/>
          <w:szCs w:val="28"/>
        </w:rPr>
        <w:t>附件1</w:t>
      </w:r>
      <w:bookmarkEnd w:id="104"/>
      <w:bookmarkEnd w:id="108"/>
      <w:bookmarkEnd w:id="109"/>
      <w:bookmarkEnd w:id="110"/>
      <w:bookmarkEnd w:id="111"/>
      <w:bookmarkEnd w:id="112"/>
    </w:p>
    <w:p>
      <w:pPr>
        <w:widowControl/>
        <w:spacing w:line="560" w:lineRule="exact"/>
        <w:ind w:left="0"/>
        <w:jc w:val="center"/>
        <w:rPr>
          <w:rFonts w:ascii="仿宋_GB2312" w:hAnsi="仿宋_GB2312" w:eastAsia="仿宋_GB2312" w:cs="仿宋_GB2312"/>
          <w:sz w:val="32"/>
          <w:szCs w:val="32"/>
        </w:rPr>
      </w:pPr>
      <w:bookmarkStart w:id="113" w:name="_Toc5971"/>
      <w:r>
        <w:rPr>
          <w:rFonts w:hint="eastAsia" w:ascii="仿宋_GB2312" w:hAnsi="仿宋_GB2312" w:eastAsia="仿宋_GB2312" w:cs="仿宋_GB2312"/>
          <w:kern w:val="2"/>
          <w:sz w:val="32"/>
          <w:szCs w:val="32"/>
        </w:rPr>
        <w:t>承诺函</w:t>
      </w:r>
      <w:bookmarkEnd w:id="113"/>
    </w:p>
    <w:p>
      <w:pPr>
        <w:widowControl/>
        <w:snapToGrid w:val="0"/>
        <w:spacing w:after="163" w:afterLines="50" w:line="560" w:lineRule="exact"/>
        <w:jc w:val="both"/>
        <w:rPr>
          <w:rFonts w:ascii="仿宋_GB2312" w:hAnsi="仿宋" w:eastAsia="仿宋_GB2312"/>
          <w:sz w:val="32"/>
          <w:szCs w:val="32"/>
        </w:rPr>
      </w:pPr>
    </w:p>
    <w:p>
      <w:pPr>
        <w:spacing w:line="560" w:lineRule="exact"/>
        <w:ind w:left="0"/>
        <w:jc w:val="both"/>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深圳公共资源交易中心：</w:t>
      </w:r>
    </w:p>
    <w:p>
      <w:pPr>
        <w:spacing w:line="560" w:lineRule="exact"/>
        <w:ind w:left="0" w:firstLine="640" w:firstLineChars="200"/>
        <w:jc w:val="both"/>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我方</w:t>
      </w:r>
      <w:r>
        <w:rPr>
          <w:rFonts w:hint="eastAsia" w:ascii="仿宋_GB2312" w:eastAsia="仿宋_GB2312" w:hAnsiTheme="minorHAnsi" w:cstheme="minorBidi"/>
          <w:kern w:val="2"/>
          <w:sz w:val="32"/>
          <w:szCs w:val="32"/>
          <w:u w:val="single"/>
        </w:rPr>
        <w:t xml:space="preserve">      （公司名称）      </w:t>
      </w:r>
      <w:r>
        <w:rPr>
          <w:rFonts w:hint="eastAsia" w:ascii="仿宋_GB2312" w:eastAsia="仿宋_GB2312" w:hAnsiTheme="minorHAnsi" w:cstheme="minorBidi"/>
          <w:kern w:val="2"/>
          <w:sz w:val="32"/>
          <w:szCs w:val="32"/>
        </w:rPr>
        <w:t>，遵照相关规定，在充分理解本次深圳阳光平台中心静脉导管（PICC）价格谈判采购文件（项目编号：</w:t>
      </w:r>
      <w:r>
        <w:rPr>
          <w:rFonts w:hint="eastAsia" w:ascii="仿宋_GB2312" w:eastAsia="仿宋_GB2312" w:hAnsiTheme="minorHAnsi" w:cstheme="minorBidi"/>
          <w:kern w:val="2"/>
          <w:sz w:val="32"/>
          <w:szCs w:val="32"/>
          <w:highlight w:val="none"/>
          <w:u w:val="single"/>
        </w:rPr>
        <w:t>SZJGTP20220003</w:t>
      </w:r>
      <w:r>
        <w:rPr>
          <w:rFonts w:hint="eastAsia" w:ascii="仿宋_GB2312" w:eastAsia="仿宋_GB2312" w:hAnsiTheme="minorHAnsi" w:cstheme="minorBidi"/>
          <w:kern w:val="2"/>
          <w:sz w:val="32"/>
          <w:szCs w:val="32"/>
        </w:rPr>
        <w:t>）后，完全认可并接受采购文件中“谈判企业须知”的各项要求，决定按照采购文件参与本次谈判，并按要求认真填写和提交相关材料。我方保证申报信息、谈判价格及其他相关证明材料的真实性、合法性、有效性。</w:t>
      </w:r>
    </w:p>
    <w:p>
      <w:pPr>
        <w:spacing w:line="560" w:lineRule="exact"/>
        <w:ind w:left="0" w:firstLine="640" w:firstLineChars="200"/>
        <w:jc w:val="both"/>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我方已充分考虑原材料价格等因素，并以此参与谈判。我方承诺谈判价格不低于本企业该产品的成本价。我方完全理解及遵守采购文件中的中选规则，理解贵方不一定要接受最低价的报价。</w:t>
      </w:r>
    </w:p>
    <w:p>
      <w:pPr>
        <w:spacing w:line="560" w:lineRule="exact"/>
        <w:ind w:left="0" w:firstLine="640" w:firstLineChars="200"/>
        <w:jc w:val="both"/>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我方自愿参与本次价格谈判并作出如下承诺：</w:t>
      </w:r>
    </w:p>
    <w:p>
      <w:pPr>
        <w:spacing w:line="560" w:lineRule="exact"/>
        <w:ind w:left="0" w:firstLine="640" w:firstLineChars="200"/>
        <w:jc w:val="both"/>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一、我方承诺，不实施虚开虚受增值税发票及其他形式虚构服务套现洗钱行为。</w:t>
      </w:r>
    </w:p>
    <w:p>
      <w:pPr>
        <w:spacing w:line="560" w:lineRule="exact"/>
        <w:ind w:left="0" w:firstLine="640" w:firstLineChars="200"/>
        <w:jc w:val="both"/>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二、我方承诺，不利用本次医用耗材价格谈判产品垄断地位或市场支配地位，操纵其价格和供应牟取暴利。不针对不同群体、不同渠道制定实施明显不合理的差异化定价。</w:t>
      </w:r>
    </w:p>
    <w:p>
      <w:pPr>
        <w:spacing w:line="560" w:lineRule="exact"/>
        <w:ind w:left="0" w:firstLine="640" w:firstLineChars="200"/>
        <w:jc w:val="both"/>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三、我方承诺，为本次医用耗材价格谈判所提供的产品或者服务未侵犯知识产权。</w:t>
      </w:r>
    </w:p>
    <w:p>
      <w:pPr>
        <w:spacing w:line="560" w:lineRule="exact"/>
        <w:ind w:left="0" w:firstLine="640" w:firstLineChars="200"/>
        <w:jc w:val="both"/>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四、我方承诺，严格约束委托代理人（具有委托代理关系的法人和自然人）在法律允许的范围内从事经营活动。不向采购我方医用耗材的医疗机构管理人员、采购人员、医师等有关人员给予回扣或其他不正当利益。</w:t>
      </w:r>
    </w:p>
    <w:p>
      <w:pPr>
        <w:spacing w:line="560" w:lineRule="exact"/>
        <w:ind w:left="0" w:firstLine="640" w:firstLineChars="200"/>
        <w:jc w:val="both"/>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五、我方承诺，如我方在本次医用耗材购销中存在违背已承诺事项的，我方承诺承担失信违约责任，我方愿意接受信用评级以及结合信用等级实施的处置措施</w:t>
      </w:r>
    </w:p>
    <w:p>
      <w:pPr>
        <w:spacing w:line="560" w:lineRule="exact"/>
        <w:ind w:left="0" w:firstLine="640" w:firstLineChars="200"/>
        <w:jc w:val="both"/>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六、我方承诺，主动维护良好信用，必要时采取切实措施修复信用。</w:t>
      </w:r>
    </w:p>
    <w:p>
      <w:pPr>
        <w:spacing w:line="560" w:lineRule="exact"/>
        <w:ind w:left="0" w:firstLine="640" w:firstLineChars="200"/>
        <w:jc w:val="both"/>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七、我方承诺，遵循公平、合理和诚实信用、质价相符的法定原则定价，将价格与成本、供求合理匹配，保持不同品规、不同地区之间价格平衡，维护价格一定时期内相对稳定。因第三方实施垄断、操纵市场，或要素成本剧烈变化等情形被动提高本次医用耗材产品价格的，我方承诺在上述情形终止后，及时纠正价格。</w:t>
      </w:r>
    </w:p>
    <w:p>
      <w:pPr>
        <w:spacing w:line="560" w:lineRule="exact"/>
        <w:ind w:left="0" w:firstLine="640" w:firstLineChars="200"/>
        <w:jc w:val="both"/>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八、我方承诺，及时、全面、完整、规范申报失信信息，不漏报，不瞒报，不推诿。</w:t>
      </w:r>
    </w:p>
    <w:p>
      <w:pPr>
        <w:spacing w:line="560" w:lineRule="exact"/>
        <w:ind w:left="0" w:firstLine="640" w:firstLineChars="200"/>
        <w:jc w:val="both"/>
        <w:rPr>
          <w:rFonts w:ascii="仿宋_GB2312" w:eastAsia="仿宋_GB2312" w:hAnsiTheme="minorHAnsi" w:cstheme="minorBidi"/>
          <w:strike/>
          <w:kern w:val="2"/>
          <w:sz w:val="32"/>
          <w:szCs w:val="32"/>
        </w:rPr>
      </w:pPr>
      <w:r>
        <w:rPr>
          <w:rFonts w:hint="eastAsia" w:ascii="仿宋_GB2312" w:eastAsia="仿宋_GB2312" w:hAnsiTheme="minorHAnsi" w:cstheme="minorBidi"/>
          <w:kern w:val="2"/>
          <w:sz w:val="32"/>
          <w:szCs w:val="32"/>
        </w:rPr>
        <w:t>九、我方承诺，本次医用耗材价格谈判活动中，不弄虚作假，不隐瞒真实情况，不围标串标，不恶意质疑投诉。</w:t>
      </w:r>
    </w:p>
    <w:p>
      <w:pPr>
        <w:spacing w:line="560" w:lineRule="exact"/>
        <w:ind w:left="0" w:firstLine="640" w:firstLineChars="200"/>
        <w:jc w:val="both"/>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以上承诺，如有违反，愿依照国家相关法律处理，并承担由此给深圳公共资源交易中心和采购主体带来的损失。</w:t>
      </w:r>
    </w:p>
    <w:p>
      <w:pPr>
        <w:pStyle w:val="13"/>
        <w:spacing w:line="560" w:lineRule="exact"/>
        <w:jc w:val="both"/>
      </w:pPr>
    </w:p>
    <w:p>
      <w:pPr>
        <w:pStyle w:val="13"/>
        <w:spacing w:line="560" w:lineRule="exact"/>
        <w:jc w:val="both"/>
      </w:pPr>
    </w:p>
    <w:p>
      <w:pPr>
        <w:snapToGrid w:val="0"/>
        <w:spacing w:line="560" w:lineRule="exact"/>
        <w:ind w:left="0" w:firstLine="3840" w:firstLineChars="1200"/>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 xml:space="preserve">承诺企业（盖章）： </w:t>
      </w:r>
    </w:p>
    <w:p>
      <w:pPr>
        <w:snapToGrid w:val="0"/>
        <w:spacing w:line="560" w:lineRule="exact"/>
        <w:ind w:left="0" w:firstLine="3840" w:firstLineChars="1200"/>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 xml:space="preserve">法定代表人（签字或盖章）： </w:t>
      </w:r>
    </w:p>
    <w:p>
      <w:pPr>
        <w:snapToGrid w:val="0"/>
        <w:spacing w:line="560" w:lineRule="exact"/>
        <w:ind w:left="0" w:firstLine="3840" w:firstLineChars="1200"/>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 xml:space="preserve">被授权人（签字或盖章）： </w:t>
      </w:r>
    </w:p>
    <w:p>
      <w:pPr>
        <w:snapToGrid w:val="0"/>
        <w:spacing w:line="560" w:lineRule="exact"/>
        <w:ind w:left="0" w:firstLine="3840" w:firstLineChars="1200"/>
        <w:jc w:val="both"/>
      </w:pPr>
      <w:r>
        <w:rPr>
          <w:rFonts w:hint="eastAsia" w:ascii="仿宋_GB2312" w:hAnsi="仿宋" w:eastAsia="仿宋_GB2312" w:cstheme="minorBidi"/>
          <w:kern w:val="2"/>
          <w:sz w:val="32"/>
          <w:szCs w:val="32"/>
        </w:rPr>
        <w:t>日期： 年 月 日</w:t>
      </w:r>
    </w:p>
    <w:p>
      <w:pPr>
        <w:pStyle w:val="13"/>
        <w:spacing w:line="560" w:lineRule="exact"/>
        <w:jc w:val="both"/>
      </w:pPr>
    </w:p>
    <w:p>
      <w:pPr>
        <w:spacing w:line="560" w:lineRule="exact"/>
        <w:jc w:val="both"/>
        <w:rPr>
          <w:rFonts w:ascii="黑体" w:hAnsi="黑体" w:eastAsia="黑体" w:cs="黑体"/>
          <w:kern w:val="2"/>
          <w:szCs w:val="22"/>
        </w:rPr>
      </w:pPr>
      <w:bookmarkStart w:id="114" w:name="_Toc17180"/>
      <w:bookmarkStart w:id="115" w:name="_Toc9013"/>
      <w:bookmarkStart w:id="116" w:name="_Toc2912"/>
      <w:bookmarkStart w:id="117" w:name="_Toc22243"/>
      <w:bookmarkStart w:id="118" w:name="_Toc61600707"/>
      <w:r>
        <w:rPr>
          <w:rFonts w:hint="eastAsia" w:ascii="黑体" w:hAnsi="黑体" w:eastAsia="黑体" w:cs="黑体"/>
          <w:kern w:val="2"/>
          <w:szCs w:val="22"/>
        </w:rPr>
        <w:br w:type="page"/>
      </w:r>
    </w:p>
    <w:p>
      <w:pPr>
        <w:pStyle w:val="3"/>
        <w:widowControl/>
        <w:spacing w:before="0" w:after="160" w:line="560" w:lineRule="exact"/>
        <w:ind w:left="0"/>
        <w:jc w:val="both"/>
        <w:rPr>
          <w:rFonts w:ascii="黑体" w:hAnsi="黑体" w:eastAsia="黑体" w:cs="黑体"/>
          <w:b w:val="0"/>
          <w:bCs w:val="0"/>
          <w:kern w:val="2"/>
          <w:sz w:val="32"/>
          <w:szCs w:val="28"/>
        </w:rPr>
      </w:pPr>
      <w:bookmarkStart w:id="119" w:name="_Toc28187"/>
      <w:r>
        <w:rPr>
          <w:rFonts w:hint="eastAsia" w:ascii="黑体" w:hAnsi="黑体" w:eastAsia="黑体" w:cs="黑体"/>
          <w:b w:val="0"/>
          <w:bCs w:val="0"/>
          <w:kern w:val="2"/>
          <w:sz w:val="32"/>
          <w:szCs w:val="28"/>
        </w:rPr>
        <w:t>附件2</w:t>
      </w:r>
      <w:bookmarkEnd w:id="114"/>
      <w:bookmarkEnd w:id="115"/>
      <w:bookmarkEnd w:id="116"/>
      <w:bookmarkEnd w:id="119"/>
    </w:p>
    <w:p>
      <w:pPr>
        <w:widowControl/>
        <w:spacing w:after="163" w:afterLines="50" w:line="560" w:lineRule="exact"/>
        <w:ind w:left="0"/>
        <w:rPr>
          <w:rFonts w:ascii="方正小标宋简体" w:hAnsi="方正小标宋简体" w:eastAsia="方正小标宋简体" w:cs="方正小标宋简体"/>
          <w:kern w:val="2"/>
          <w:sz w:val="44"/>
          <w:szCs w:val="44"/>
        </w:rPr>
      </w:pPr>
      <w:bookmarkStart w:id="120" w:name="_Toc9975"/>
      <w:bookmarkStart w:id="121" w:name="_Toc16642"/>
      <w:bookmarkStart w:id="122" w:name="_Toc5568"/>
      <w:bookmarkStart w:id="123" w:name="_Toc6949"/>
      <w:bookmarkStart w:id="124" w:name="_Toc19073"/>
      <w:r>
        <w:rPr>
          <w:rFonts w:hint="eastAsia" w:ascii="仿宋_GB2312" w:hAnsi="仿宋" w:eastAsia="仿宋_GB2312" w:cs="宋体"/>
          <w:kern w:val="2"/>
          <w:sz w:val="32"/>
          <w:szCs w:val="32"/>
        </w:rPr>
        <w:t>合同编号：</w:t>
      </w:r>
    </w:p>
    <w:p>
      <w:pPr>
        <w:widowControl/>
        <w:spacing w:after="163" w:afterLines="50" w:line="560" w:lineRule="exact"/>
        <w:ind w:left="0"/>
        <w:jc w:val="center"/>
        <w:rPr>
          <w:rFonts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rPr>
        <w:t>医疗机构医用耗材价格优势专区采购合同</w:t>
      </w:r>
    </w:p>
    <w:p>
      <w:pPr>
        <w:snapToGrid w:val="0"/>
        <w:spacing w:line="560" w:lineRule="exact"/>
        <w:ind w:left="0"/>
        <w:jc w:val="both"/>
        <w:rPr>
          <w:rFonts w:ascii="仿宋_GB2312" w:hAnsi="仿宋" w:eastAsia="仿宋_GB2312" w:cs="宋体"/>
          <w:kern w:val="2"/>
          <w:sz w:val="32"/>
          <w:szCs w:val="32"/>
        </w:rPr>
      </w:pPr>
    </w:p>
    <w:p>
      <w:pPr>
        <w:snapToGrid w:val="0"/>
        <w:spacing w:line="560" w:lineRule="exact"/>
        <w:ind w:left="0" w:firstLine="640" w:firstLineChars="200"/>
        <w:jc w:val="both"/>
        <w:rPr>
          <w:rFonts w:ascii="仿宋_GB2312" w:hAnsi="仿宋" w:eastAsia="仿宋_GB2312" w:cs="宋体"/>
          <w:kern w:val="2"/>
          <w:sz w:val="32"/>
          <w:szCs w:val="32"/>
        </w:rPr>
      </w:pPr>
      <w:r>
        <w:rPr>
          <w:rFonts w:hint="eastAsia" w:ascii="仿宋_GB2312" w:hAnsi="仿宋" w:eastAsia="仿宋_GB2312" w:cs="宋体"/>
          <w:kern w:val="2"/>
          <w:sz w:val="32"/>
          <w:szCs w:val="32"/>
        </w:rPr>
        <w:t>甲方（医疗机构）：</w:t>
      </w:r>
    </w:p>
    <w:p>
      <w:pPr>
        <w:snapToGrid w:val="0"/>
        <w:spacing w:line="560" w:lineRule="exact"/>
        <w:ind w:left="0" w:firstLine="640" w:firstLineChars="200"/>
        <w:jc w:val="both"/>
        <w:rPr>
          <w:rFonts w:ascii="仿宋_GB2312" w:hAnsi="仿宋" w:eastAsia="仿宋_GB2312" w:cs="宋体"/>
          <w:kern w:val="2"/>
          <w:sz w:val="32"/>
          <w:szCs w:val="32"/>
        </w:rPr>
      </w:pPr>
      <w:r>
        <w:rPr>
          <w:rFonts w:hint="eastAsia" w:ascii="仿宋_GB2312" w:hAnsi="仿宋" w:eastAsia="仿宋_GB2312" w:cs="宋体"/>
          <w:kern w:val="2"/>
          <w:sz w:val="32"/>
          <w:szCs w:val="32"/>
        </w:rPr>
        <w:t>乙方（生产企业）：</w:t>
      </w:r>
    </w:p>
    <w:p>
      <w:pPr>
        <w:snapToGrid w:val="0"/>
        <w:spacing w:line="560" w:lineRule="exact"/>
        <w:ind w:left="0" w:firstLine="640" w:firstLineChars="200"/>
        <w:jc w:val="both"/>
        <w:rPr>
          <w:rFonts w:ascii="仿宋_GB2312" w:hAnsi="仿宋" w:eastAsia="仿宋_GB2312" w:cs="宋体"/>
          <w:kern w:val="2"/>
          <w:sz w:val="32"/>
          <w:szCs w:val="32"/>
        </w:rPr>
      </w:pPr>
      <w:r>
        <w:rPr>
          <w:rFonts w:hint="eastAsia" w:ascii="仿宋_GB2312" w:hAnsi="仿宋" w:eastAsia="仿宋_GB2312" w:cs="宋体"/>
          <w:kern w:val="2"/>
          <w:sz w:val="32"/>
          <w:szCs w:val="32"/>
        </w:rPr>
        <w:t>丙方（配送企业）：</w:t>
      </w:r>
    </w:p>
    <w:p>
      <w:pPr>
        <w:spacing w:line="560" w:lineRule="exact"/>
        <w:ind w:firstLine="600" w:firstLineChars="200"/>
        <w:jc w:val="both"/>
        <w:rPr>
          <w:rFonts w:ascii="仿宋_GB2312" w:hAnsi="Calibri" w:eastAsia="仿宋_GB2312"/>
          <w:sz w:val="30"/>
          <w:szCs w:val="30"/>
        </w:rPr>
      </w:pPr>
    </w:p>
    <w:p>
      <w:pPr>
        <w:spacing w:line="56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根据《医疗器械监督管理条例》《广东省医疗保障局关于做好药品和医用耗材采购工作的指导意见》（粤医保规〔2020〕2号）、《深圳市推进公立医疗机构医用耗材阳光交易工作实施方案》（深治耗办〔2020〕1 号）及《深圳市医疗保障局关于进一步完善医用耗材分类集中采购支持深圳阳光平台开展价格谈判的通知》（深医保规〔2021〕6 号，以下简称6号规）等文件精神和工作要求，在医用耗材阳光采购活动中，本着平等互利的原则，经甲乙丙三方协商一致，签订本合同。 </w:t>
      </w:r>
    </w:p>
    <w:p>
      <w:pPr>
        <w:spacing w:line="560" w:lineRule="exact"/>
        <w:ind w:left="0" w:firstLine="640" w:firstLineChars="200"/>
        <w:jc w:val="both"/>
        <w:rPr>
          <w:rFonts w:ascii="黑体" w:hAnsi="黑体" w:eastAsia="黑体" w:cs="黑体"/>
          <w:kern w:val="2"/>
          <w:sz w:val="32"/>
          <w:szCs w:val="32"/>
        </w:rPr>
      </w:pPr>
      <w:r>
        <w:rPr>
          <w:rFonts w:hint="eastAsia" w:ascii="黑体" w:hAnsi="黑体" w:eastAsia="黑体" w:cs="黑体"/>
          <w:kern w:val="2"/>
          <w:sz w:val="32"/>
          <w:szCs w:val="32"/>
        </w:rPr>
        <w:t>第一条 总则</w:t>
      </w:r>
    </w:p>
    <w:p>
      <w:pPr>
        <w:spacing w:line="56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1.甲方为依法设立的医疗机构，通过深圳医用耗材阳光交易和监管平台（以下简称深圳阳光平台）采购医用耗材，并按规定进行医用耗材产品验收、按约定进行交易价款结算。 </w:t>
      </w:r>
    </w:p>
    <w:p>
      <w:pPr>
        <w:spacing w:line="56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2.乙方为依法设立的医用耗材生产企业【进口产品全国总代理资格的企业视为生产企业】，保证在合同履行期间符合从事医疗器械生产活动的法定条件，严格遵守签署的《承诺函》，负责在深圳阳光平台申报产品、供应医用耗材至配送企业等工作，并按国家、省、市有关规定，及时提供采购交易所需的票据、单据。 </w:t>
      </w:r>
    </w:p>
    <w:p>
      <w:pPr>
        <w:spacing w:line="56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3.丙方为依法设立的医用耗材经营、配送企业，保证在合同履行期间符合从事医疗器械经营、运输活动的法定条件，按深圳阳光平台的订单要求及甲方的配送时限要求按时将乙方的医用耗材配送至甲方指定地点，并按国家、省、市有关规定，及时提供相应的票据、单据。 </w:t>
      </w:r>
    </w:p>
    <w:p>
      <w:pPr>
        <w:spacing w:line="56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4.甲乙丙三方承诺按有关规定和相关承诺在深圳阳光平台开展医用耗材阳光交易活动。 </w:t>
      </w:r>
    </w:p>
    <w:p>
      <w:pPr>
        <w:spacing w:line="560" w:lineRule="exact"/>
        <w:ind w:left="0" w:firstLine="640" w:firstLineChars="200"/>
        <w:jc w:val="both"/>
        <w:rPr>
          <w:rFonts w:ascii="黑体" w:hAnsi="黑体" w:eastAsia="黑体" w:cs="黑体"/>
          <w:kern w:val="2"/>
          <w:sz w:val="32"/>
          <w:szCs w:val="32"/>
        </w:rPr>
      </w:pPr>
      <w:r>
        <w:rPr>
          <w:rFonts w:hint="eastAsia" w:ascii="黑体" w:hAnsi="黑体" w:eastAsia="黑体" w:cs="黑体"/>
          <w:kern w:val="2"/>
          <w:sz w:val="32"/>
          <w:szCs w:val="32"/>
        </w:rPr>
        <w:t xml:space="preserve">第二条 合同标的 </w:t>
      </w:r>
    </w:p>
    <w:p>
      <w:pPr>
        <w:spacing w:line="560" w:lineRule="exact"/>
        <w:ind w:left="0" w:firstLine="640" w:firstLineChars="200"/>
        <w:jc w:val="both"/>
        <w:rPr>
          <w:rFonts w:ascii="仿宋_GB2312" w:hAnsi="Calibri" w:eastAsia="仿宋_GB2312" w:cs="宋体"/>
          <w:kern w:val="2"/>
          <w:sz w:val="32"/>
          <w:szCs w:val="32"/>
        </w:rPr>
      </w:pPr>
      <w:r>
        <w:rPr>
          <w:rFonts w:hint="eastAsia" w:ascii="仿宋_GB2312" w:eastAsia="仿宋_GB2312" w:hAnsiTheme="minorHAnsi" w:cstheme="minorBidi"/>
          <w:kern w:val="2"/>
          <w:sz w:val="32"/>
          <w:szCs w:val="32"/>
        </w:rPr>
        <w:t>深圳阳光平台价格优势专区挂网产品的名称、注册证、规格、包装规格、中选价格、生产企业等见合同明细</w:t>
      </w:r>
      <w:r>
        <w:rPr>
          <w:rFonts w:hint="eastAsia" w:ascii="仿宋_GB2312" w:hAnsi="Calibri" w:eastAsia="仿宋_GB2312" w:cs="宋体"/>
          <w:kern w:val="2"/>
          <w:sz w:val="32"/>
          <w:szCs w:val="32"/>
        </w:rPr>
        <w:t>。</w:t>
      </w:r>
    </w:p>
    <w:p>
      <w:pPr>
        <w:spacing w:line="560" w:lineRule="exact"/>
        <w:ind w:left="0" w:firstLine="640" w:firstLineChars="200"/>
        <w:jc w:val="both"/>
        <w:rPr>
          <w:rFonts w:ascii="黑体" w:hAnsi="黑体" w:eastAsia="黑体" w:cs="黑体"/>
          <w:kern w:val="2"/>
          <w:sz w:val="32"/>
          <w:szCs w:val="32"/>
        </w:rPr>
      </w:pPr>
      <w:r>
        <w:rPr>
          <w:rFonts w:hint="eastAsia" w:ascii="黑体" w:hAnsi="黑体" w:eastAsia="黑体" w:cs="黑体"/>
          <w:kern w:val="2"/>
          <w:sz w:val="32"/>
          <w:szCs w:val="32"/>
        </w:rPr>
        <w:t xml:space="preserve">第三条 供货要求 </w:t>
      </w:r>
    </w:p>
    <w:p>
      <w:pPr>
        <w:spacing w:line="56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1.乙方、丙方向甲方供应的医用耗材必须符合国家的质量标准和有关要求，相关资质证照齐备、有效并符合国家、省、市有关医疗器械管理规定，出具的发票为符合国家税法规定的正规、有效税务发票。按约定及时保质保量供货、不延误医疗机构临床医疗工作。急诊或急救医用耗材应保证及时供货，确保临床医疗安全。 </w:t>
      </w:r>
    </w:p>
    <w:p>
      <w:pPr>
        <w:spacing w:line="56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2.乙方、丙方供应的全部医用耗材应按国家标准及保护措施进行生产、包装、存储、运输等，以防止医用耗材在配送过程中损坏或变质，确保医用耗材按时足量、安全无损运抵交货地点。 </w:t>
      </w:r>
    </w:p>
    <w:p>
      <w:pPr>
        <w:spacing w:line="56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3.甲方有权要求乙方、丙方提供其与交易有关的证明文件。 </w:t>
      </w:r>
    </w:p>
    <w:p>
      <w:pPr>
        <w:spacing w:line="56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4.乙方、丙方医用耗材生产/配送过程必须符合国家及地方医用耗材生产/配送相关规定。 </w:t>
      </w:r>
    </w:p>
    <w:p>
      <w:pPr>
        <w:spacing w:line="560" w:lineRule="exact"/>
        <w:ind w:left="0" w:firstLine="640" w:firstLineChars="200"/>
        <w:jc w:val="both"/>
        <w:rPr>
          <w:rFonts w:ascii="黑体" w:hAnsi="黑体" w:eastAsia="黑体" w:cs="黑体"/>
          <w:kern w:val="2"/>
          <w:sz w:val="32"/>
          <w:szCs w:val="32"/>
        </w:rPr>
      </w:pPr>
      <w:r>
        <w:rPr>
          <w:rFonts w:hint="eastAsia" w:ascii="黑体" w:hAnsi="黑体" w:eastAsia="黑体" w:cs="黑体"/>
          <w:kern w:val="2"/>
          <w:sz w:val="32"/>
          <w:szCs w:val="32"/>
        </w:rPr>
        <w:t xml:space="preserve">第四条 订货与交货 </w:t>
      </w:r>
    </w:p>
    <w:p>
      <w:pPr>
        <w:spacing w:line="56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1.本合同签订后，甲方在合同有效期内原则上按月或季度拟定采购计划向丙方采购医用耗材。丙方应提前做好产品备货，保障供应。</w:t>
      </w:r>
    </w:p>
    <w:p>
      <w:pPr>
        <w:spacing w:line="56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2.乙方是保障医用耗材质量和供应的第一责任人。乙方应保证在规定时间内生产并足量保质供应医用耗材，对丙方的配送供应行为负责，并承担连带责任。乙方承担连带责任后，可以依法就丙方的过错进行追偿。丙方对甲方、乙方负责，确保医用耗材在规定时间内、足量保质配送至甲方。按6号规要求，一般产品24小时内送达，最长不超过48小时（含节假日），急用产品4小时内送达。 </w:t>
      </w:r>
    </w:p>
    <w:p>
      <w:pPr>
        <w:spacing w:line="56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3.丙方配送医用耗材的品种、规格、型号、材质、交易价格、数量、包装单位等必须严格按照甲方通过深圳阳光平台发送的订单执行。 </w:t>
      </w:r>
    </w:p>
    <w:p>
      <w:pPr>
        <w:spacing w:line="560" w:lineRule="exact"/>
        <w:ind w:left="0" w:firstLine="640" w:firstLineChars="200"/>
        <w:jc w:val="both"/>
        <w:rPr>
          <w:rFonts w:ascii="黑体" w:hAnsi="黑体" w:eastAsia="黑体" w:cs="黑体"/>
          <w:kern w:val="2"/>
          <w:sz w:val="32"/>
          <w:szCs w:val="32"/>
        </w:rPr>
      </w:pPr>
      <w:r>
        <w:rPr>
          <w:rFonts w:hint="eastAsia" w:ascii="黑体" w:hAnsi="黑体" w:eastAsia="黑体" w:cs="黑体"/>
          <w:kern w:val="2"/>
          <w:sz w:val="32"/>
          <w:szCs w:val="32"/>
        </w:rPr>
        <w:t xml:space="preserve">第五条 产品验收 </w:t>
      </w:r>
    </w:p>
    <w:p>
      <w:pPr>
        <w:spacing w:line="56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1.医用耗材验收按照国家、省、市有关法律法规和医用耗材验收有关规定执行。 </w:t>
      </w:r>
    </w:p>
    <w:p>
      <w:pPr>
        <w:spacing w:line="56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2.验收合格的，甲方应在深圳阳光平台上予以确认收货。丙方依照程序配合甲方、平台及时提供票据（发票等）或票据信息。验收不合格的，乙方及丙方应及时更换医用耗材直至确保验收合格临床可用并承担相应费用，不得影响甲方的临床使用。产品经更换仍无法通过验收的，甲方视临床需求有权单方终止该医用耗材的继续采购，退回剩余医用耗材，由此造成的所有损失由乙方和丙方承担。 </w:t>
      </w:r>
    </w:p>
    <w:p>
      <w:pPr>
        <w:spacing w:line="56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3.验收通过未使用的医用耗材，在甲丙双方协商一致情况下，甲方可以进行退货处理。 </w:t>
      </w:r>
    </w:p>
    <w:p>
      <w:pPr>
        <w:spacing w:line="560" w:lineRule="exact"/>
        <w:ind w:left="0" w:firstLine="640" w:firstLineChars="200"/>
        <w:jc w:val="both"/>
        <w:rPr>
          <w:rFonts w:ascii="黑体" w:hAnsi="黑体" w:eastAsia="黑体" w:cs="黑体"/>
          <w:kern w:val="2"/>
          <w:sz w:val="32"/>
          <w:szCs w:val="32"/>
        </w:rPr>
      </w:pPr>
      <w:r>
        <w:rPr>
          <w:rFonts w:hint="eastAsia" w:ascii="黑体" w:hAnsi="黑体" w:eastAsia="黑体" w:cs="黑体"/>
          <w:kern w:val="2"/>
          <w:sz w:val="32"/>
          <w:szCs w:val="32"/>
        </w:rPr>
        <w:t xml:space="preserve">第六条 交易价款结算 </w:t>
      </w:r>
    </w:p>
    <w:p>
      <w:pPr>
        <w:spacing w:line="56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1.交易价格：按深圳阳光平台订单的交易价格执行，该价格包含成本、运输、包装、伴随服务、税费及其他一切附加费用。 </w:t>
      </w:r>
    </w:p>
    <w:p>
      <w:pPr>
        <w:spacing w:line="56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2.本合同履行期间，因政策性调价、限价等原因致医用耗材的价格需要调整的，甲乙双方按照相关政策规定执行或者自行协商确定。 </w:t>
      </w:r>
    </w:p>
    <w:p>
      <w:pPr>
        <w:spacing w:line="56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3.价款支付：甲方应按国家、省、市规定的医用耗材货款结算时限通过深圳阳光平台集中结算监管账户及时支付货款。 </w:t>
      </w:r>
    </w:p>
    <w:p>
      <w:pPr>
        <w:spacing w:line="56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4.其他与交易价款结算有关的事项，按国家、省、市和深圳阳光平台有关规则执行。 </w:t>
      </w:r>
    </w:p>
    <w:p>
      <w:pPr>
        <w:spacing w:line="560" w:lineRule="exact"/>
        <w:ind w:left="0" w:firstLine="640" w:firstLineChars="200"/>
        <w:jc w:val="both"/>
        <w:rPr>
          <w:rFonts w:ascii="黑体" w:hAnsi="黑体" w:eastAsia="黑体" w:cs="黑体"/>
          <w:kern w:val="2"/>
          <w:sz w:val="32"/>
          <w:szCs w:val="32"/>
        </w:rPr>
      </w:pPr>
      <w:r>
        <w:rPr>
          <w:rFonts w:hint="eastAsia" w:ascii="黑体" w:hAnsi="黑体" w:eastAsia="黑体" w:cs="黑体"/>
          <w:kern w:val="2"/>
          <w:sz w:val="32"/>
          <w:szCs w:val="32"/>
        </w:rPr>
        <w:t xml:space="preserve">第七条 甲方的违约责任 </w:t>
      </w:r>
    </w:p>
    <w:p>
      <w:pPr>
        <w:spacing w:line="56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甲方如出现下列行为，应按照规定承担违约责任 ： </w:t>
      </w:r>
    </w:p>
    <w:p>
      <w:pPr>
        <w:spacing w:line="56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1.甲方无正当理由拒绝接收丙方配送的医用耗材。 </w:t>
      </w:r>
    </w:p>
    <w:p>
      <w:pPr>
        <w:spacing w:line="56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2.甲方无正当理由未按照本合同标的内容完成采购。 </w:t>
      </w:r>
    </w:p>
    <w:p>
      <w:pPr>
        <w:spacing w:line="56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3.甲方无正当理由未按照本合同约定期限和方式完成交易价款结算。 </w:t>
      </w:r>
    </w:p>
    <w:p>
      <w:pPr>
        <w:spacing w:line="560" w:lineRule="exact"/>
        <w:ind w:left="0" w:firstLine="640" w:firstLineChars="200"/>
        <w:jc w:val="both"/>
        <w:rPr>
          <w:rFonts w:ascii="仿宋_GB2312" w:hAnsi="inherit" w:eastAsia="仿宋_GB2312" w:cs="宋体"/>
          <w:sz w:val="32"/>
          <w:szCs w:val="32"/>
        </w:rPr>
      </w:pPr>
      <w:r>
        <w:rPr>
          <w:rFonts w:hint="eastAsia" w:ascii="仿宋_GB2312" w:hAnsi="Calibri" w:eastAsia="仿宋_GB2312" w:cs="宋体"/>
          <w:kern w:val="2"/>
          <w:sz w:val="32"/>
          <w:szCs w:val="32"/>
        </w:rPr>
        <w:t>4.其他违反本合同约定的行为。</w:t>
      </w:r>
      <w:r>
        <w:rPr>
          <w:rFonts w:hint="eastAsia" w:ascii="仿宋_GB2312" w:hAnsi="inherit" w:eastAsia="仿宋_GB2312" w:cs="宋体"/>
          <w:sz w:val="32"/>
          <w:szCs w:val="32"/>
        </w:rPr>
        <w:t xml:space="preserve"> </w:t>
      </w:r>
    </w:p>
    <w:p>
      <w:pPr>
        <w:spacing w:line="560" w:lineRule="exact"/>
        <w:ind w:left="0" w:firstLine="640" w:firstLineChars="200"/>
        <w:jc w:val="both"/>
        <w:rPr>
          <w:rFonts w:ascii="黑体" w:hAnsi="黑体" w:eastAsia="黑体" w:cs="黑体"/>
          <w:kern w:val="2"/>
          <w:sz w:val="32"/>
          <w:szCs w:val="32"/>
        </w:rPr>
      </w:pPr>
      <w:r>
        <w:rPr>
          <w:rFonts w:hint="eastAsia" w:ascii="黑体" w:hAnsi="黑体" w:eastAsia="黑体" w:cs="黑体"/>
          <w:kern w:val="2"/>
          <w:sz w:val="32"/>
          <w:szCs w:val="32"/>
        </w:rPr>
        <w:t xml:space="preserve">第八条 乙方和丙方的违约责任 </w:t>
      </w:r>
    </w:p>
    <w:p>
      <w:pPr>
        <w:spacing w:line="56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乙方、丙方如出现下列行为，应按照规定承担违约责任： </w:t>
      </w:r>
    </w:p>
    <w:p>
      <w:pPr>
        <w:spacing w:line="56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1.乙方或者丙方在合同履行期间未取得有效的医疗器械生产或者经营等资质证明。 </w:t>
      </w:r>
    </w:p>
    <w:p>
      <w:pPr>
        <w:spacing w:line="56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2.所供货医用耗材不符合国家的质量标准和有关要求、不符合本合同约定的质量标准。</w:t>
      </w:r>
    </w:p>
    <w:p>
      <w:pPr>
        <w:spacing w:line="56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3.违反本合同关于供货时限和数量的约定或拒绝供货。 </w:t>
      </w:r>
    </w:p>
    <w:p>
      <w:pPr>
        <w:spacing w:line="56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4.其他违反本合同约定的行为。 </w:t>
      </w:r>
    </w:p>
    <w:p>
      <w:pPr>
        <w:spacing w:line="560" w:lineRule="exact"/>
        <w:ind w:left="0" w:firstLine="640" w:firstLineChars="200"/>
        <w:jc w:val="both"/>
        <w:rPr>
          <w:rFonts w:ascii="黑体" w:hAnsi="黑体" w:eastAsia="黑体" w:cs="黑体"/>
          <w:kern w:val="2"/>
          <w:sz w:val="32"/>
          <w:szCs w:val="32"/>
        </w:rPr>
      </w:pPr>
      <w:r>
        <w:rPr>
          <w:rFonts w:hint="eastAsia" w:ascii="黑体" w:hAnsi="黑体" w:eastAsia="黑体" w:cs="黑体"/>
          <w:kern w:val="2"/>
          <w:sz w:val="32"/>
          <w:szCs w:val="32"/>
        </w:rPr>
        <w:t xml:space="preserve">第九条 不可抗力 </w:t>
      </w:r>
    </w:p>
    <w:p>
      <w:pPr>
        <w:spacing w:line="56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1.合同当事人因不可抗力或者意外事件，使得本合同的履行不可能、不必要或实施延误的，不承担误期赔偿或终止合同的责任。 </w:t>
      </w:r>
    </w:p>
    <w:p>
      <w:pPr>
        <w:spacing w:line="56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2.遭受不可抗力、意外事件的一方全部或部分不能履行本合同、解除或迟延履行本合同的，应及时将事件情况以书面形式通知另两方并向另两方提交相应的证明。 </w:t>
      </w:r>
    </w:p>
    <w:p>
      <w:pPr>
        <w:spacing w:line="56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3.除另行要求外，合同当事人应尽实际可能继续履行合同义务，以及寻求采取合理的方案履行不受不可抗力影响的其他事项。不可抗力事件影响消除后，合同当事人可通过协商在合理的时间内达成进一步履行合同的协议。 </w:t>
      </w:r>
    </w:p>
    <w:p>
      <w:pPr>
        <w:spacing w:line="56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4.本合同所称不可抗力、意外事件是指不能预见、不能克服并不能避免且对某方当事人造成重大影响的客观事件，包括但不限于自然灾害如洪水、地震、火灾和风暴等以及社会事件如战争、动乱等，但不包括合同某一方的违约或疏忽。 </w:t>
      </w:r>
    </w:p>
    <w:p>
      <w:pPr>
        <w:spacing w:line="560" w:lineRule="exact"/>
        <w:ind w:left="0" w:firstLine="640" w:firstLineChars="200"/>
        <w:jc w:val="both"/>
        <w:rPr>
          <w:rFonts w:ascii="黑体" w:hAnsi="黑体" w:eastAsia="黑体" w:cs="黑体"/>
          <w:kern w:val="2"/>
          <w:sz w:val="32"/>
          <w:szCs w:val="32"/>
        </w:rPr>
      </w:pPr>
      <w:r>
        <w:rPr>
          <w:rFonts w:hint="eastAsia" w:ascii="黑体" w:hAnsi="黑体" w:eastAsia="黑体" w:cs="黑体"/>
          <w:kern w:val="2"/>
          <w:sz w:val="32"/>
          <w:szCs w:val="32"/>
        </w:rPr>
        <w:t xml:space="preserve">第十条 合同的解除 </w:t>
      </w:r>
    </w:p>
    <w:p>
      <w:pPr>
        <w:spacing w:line="56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有下列情形之一的，当事人可以解除本合同： </w:t>
      </w:r>
    </w:p>
    <w:p>
      <w:pPr>
        <w:spacing w:line="56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1.甲乙丙三方协商一致。</w:t>
      </w:r>
    </w:p>
    <w:p>
      <w:pPr>
        <w:spacing w:line="56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2.因不可抗力、政府政策调整致使合同履行不能实现合同目的。 </w:t>
      </w:r>
    </w:p>
    <w:p>
      <w:pPr>
        <w:spacing w:line="56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3.任何一方明确表示或者以行为表明不履行本合同主要义务。 </w:t>
      </w:r>
    </w:p>
    <w:p>
      <w:pPr>
        <w:spacing w:line="56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4.任何一方迟延履行本合同主要义务，经他方催告后在合理期限内仍未履行。 </w:t>
      </w:r>
    </w:p>
    <w:p>
      <w:pPr>
        <w:spacing w:line="56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5.任何一方有其他严重违约行为致使不能实现本合同目的。 </w:t>
      </w:r>
    </w:p>
    <w:p>
      <w:pPr>
        <w:spacing w:line="56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6.法律规定的其他情形。 </w:t>
      </w:r>
    </w:p>
    <w:p>
      <w:pPr>
        <w:spacing w:line="560" w:lineRule="exact"/>
        <w:ind w:left="0" w:firstLine="640" w:firstLineChars="200"/>
        <w:jc w:val="both"/>
        <w:rPr>
          <w:rFonts w:ascii="黑体" w:hAnsi="黑体" w:eastAsia="黑体" w:cs="黑体"/>
          <w:kern w:val="2"/>
          <w:sz w:val="32"/>
          <w:szCs w:val="32"/>
        </w:rPr>
      </w:pPr>
      <w:r>
        <w:rPr>
          <w:rFonts w:hint="eastAsia" w:ascii="黑体" w:hAnsi="黑体" w:eastAsia="黑体" w:cs="黑体"/>
          <w:kern w:val="2"/>
          <w:sz w:val="32"/>
          <w:szCs w:val="32"/>
        </w:rPr>
        <w:t xml:space="preserve">第十一条 争议的解决 </w:t>
      </w:r>
    </w:p>
    <w:p>
      <w:pPr>
        <w:spacing w:line="56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1.本合同的订立、解释、履行、解除等均适用中华人民共和国法律。 </w:t>
      </w:r>
    </w:p>
    <w:p>
      <w:pPr>
        <w:spacing w:line="56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2.因履行本合同发生争议，由争议各方协商解决，协商不成的，任何一方均有权依法向甲方所在地有管辖权的人民法院提起诉讼。 </w:t>
      </w:r>
    </w:p>
    <w:p>
      <w:pPr>
        <w:spacing w:line="560" w:lineRule="exact"/>
        <w:ind w:left="0" w:firstLine="640" w:firstLineChars="200"/>
        <w:jc w:val="both"/>
        <w:rPr>
          <w:rFonts w:ascii="黑体" w:hAnsi="黑体" w:eastAsia="黑体" w:cs="黑体"/>
          <w:kern w:val="2"/>
          <w:sz w:val="32"/>
          <w:szCs w:val="32"/>
        </w:rPr>
      </w:pPr>
      <w:r>
        <w:rPr>
          <w:rFonts w:hint="eastAsia" w:ascii="黑体" w:hAnsi="黑体" w:eastAsia="黑体" w:cs="黑体"/>
          <w:kern w:val="2"/>
          <w:sz w:val="32"/>
          <w:szCs w:val="32"/>
        </w:rPr>
        <w:t xml:space="preserve">第十二条 其他 </w:t>
      </w:r>
    </w:p>
    <w:p>
      <w:pPr>
        <w:spacing w:line="56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1.各方对在本合同签订及履行过程中所获得的另外两方的任何商业信息负有保密义务，该义务在本合同终止后继续有效。因信息泄露造成的后果，由泄露方承担全部责任并赔偿所有相关损失。 </w:t>
      </w:r>
    </w:p>
    <w:p>
      <w:pPr>
        <w:spacing w:line="56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2.签署本合同为各方自愿、平等协商的真实意思表示,应经过各方的内部授权或者审批。 </w:t>
      </w:r>
    </w:p>
    <w:p>
      <w:pPr>
        <w:spacing w:line="56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3.通过深圳阳光平台完成的采购订单为本合同的组成部分。 </w:t>
      </w:r>
    </w:p>
    <w:p>
      <w:pPr>
        <w:spacing w:line="56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4.本合同未尽事项，在与法律、法规等规定、交易规则及本合同内容不冲突的前提下，各方可另行签订补充协议。经各方签字盖章的补充协议与本合同具有同等法律效力。 </w:t>
      </w:r>
    </w:p>
    <w:p>
      <w:pPr>
        <w:spacing w:line="56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5.各方可自行协商签署廉洁协议，作为本合同的组成部分，与本合同一并执行，经相关方签字盖章后与本合同具有同等法律效力。 </w:t>
      </w:r>
    </w:p>
    <w:p>
      <w:pPr>
        <w:spacing w:line="56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6.本合同自甲乙丙三方在深圳阳光平台进行电子签章后生效，</w:t>
      </w:r>
      <w:r>
        <w:rPr>
          <w:rFonts w:hint="eastAsia" w:ascii="仿宋_GB2312" w:eastAsia="仿宋_GB2312" w:hAnsiTheme="minorHAnsi" w:cstheme="minorBidi"/>
          <w:kern w:val="2"/>
          <w:sz w:val="32"/>
          <w:szCs w:val="32"/>
        </w:rPr>
        <w:t>有效期按项目采购文件有关规定执行</w:t>
      </w:r>
      <w:r>
        <w:rPr>
          <w:rFonts w:hint="eastAsia" w:ascii="仿宋_GB2312" w:hAnsi="Calibri" w:eastAsia="仿宋_GB2312" w:cs="宋体"/>
          <w:kern w:val="2"/>
          <w:sz w:val="32"/>
          <w:szCs w:val="32"/>
        </w:rPr>
        <w:t xml:space="preserve">。 </w:t>
      </w:r>
    </w:p>
    <w:p>
      <w:pPr>
        <w:spacing w:line="56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7.深圳医疗机构医用耗材阳光交易实施过程中，如遇国家、省、市相关管理部门有新规定的，则从其规定执行。</w:t>
      </w:r>
    </w:p>
    <w:p>
      <w:pPr>
        <w:rPr>
          <w:rFonts w:ascii="仿宋_GB2312" w:hAnsi="Calibri" w:eastAsia="仿宋_GB2312" w:cs="宋体"/>
          <w:kern w:val="2"/>
          <w:sz w:val="32"/>
          <w:szCs w:val="32"/>
        </w:rPr>
      </w:pPr>
      <w:r>
        <w:rPr>
          <w:rFonts w:hint="eastAsia" w:ascii="仿宋_GB2312" w:hAnsi="Calibri" w:eastAsia="仿宋_GB2312" w:cs="宋体"/>
          <w:kern w:val="2"/>
          <w:sz w:val="32"/>
          <w:szCs w:val="32"/>
        </w:rPr>
        <w:br w:type="page"/>
      </w:r>
    </w:p>
    <w:p>
      <w:pPr>
        <w:pStyle w:val="4"/>
        <w:numPr>
          <w:ilvl w:val="1"/>
          <w:numId w:val="0"/>
        </w:numPr>
        <w:spacing w:before="0" w:after="160" w:line="580" w:lineRule="exact"/>
        <w:rPr>
          <w:rFonts w:hint="eastAsia" w:ascii="仿宋_GB2312" w:hAnsi="仿宋_GB2312" w:eastAsia="仿宋_GB2312" w:cs="仿宋_GB2312"/>
          <w:b w:val="0"/>
          <w:sz w:val="32"/>
          <w:szCs w:val="32"/>
          <w:lang w:val="en-US" w:eastAsia="zh-CN" w:bidi="ar-SA"/>
        </w:rPr>
      </w:pPr>
      <w:r>
        <w:rPr>
          <w:rFonts w:hint="eastAsia" w:ascii="仿宋_GB2312" w:hAnsi="仿宋_GB2312" w:eastAsia="仿宋_GB2312" w:cs="仿宋_GB2312"/>
          <w:b w:val="0"/>
          <w:sz w:val="32"/>
          <w:szCs w:val="32"/>
          <w:lang w:val="en-US" w:eastAsia="zh-CN" w:bidi="ar-SA"/>
        </w:rPr>
        <w:t>合同附件</w:t>
      </w:r>
    </w:p>
    <w:p>
      <w:pPr>
        <w:spacing w:line="240" w:lineRule="auto"/>
        <w:jc w:val="center"/>
        <w:rPr>
          <w:rFonts w:ascii="楷体_GB2312" w:eastAsia="楷体_GB2312"/>
          <w:sz w:val="32"/>
          <w:szCs w:val="32"/>
        </w:rPr>
      </w:pPr>
      <w:r>
        <w:rPr>
          <w:rFonts w:hint="eastAsia" w:ascii="仿宋_GB2312" w:hAnsi="仿宋_GB2312" w:eastAsia="仿宋_GB2312" w:cs="仿宋_GB2312"/>
          <w:sz w:val="32"/>
          <w:szCs w:val="32"/>
        </w:rPr>
        <w:t>中心静脉导管（PICC）采购明细表</w:t>
      </w:r>
    </w:p>
    <w:tbl>
      <w:tblPr>
        <w:tblStyle w:val="22"/>
        <w:tblpPr w:leftFromText="180" w:rightFromText="180" w:vertAnchor="text" w:horzAnchor="page" w:tblpX="1711" w:tblpY="505"/>
        <w:tblOverlap w:val="never"/>
        <w:tblW w:w="486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3"/>
        <w:gridCol w:w="1026"/>
        <w:gridCol w:w="1162"/>
        <w:gridCol w:w="1228"/>
        <w:gridCol w:w="1085"/>
        <w:gridCol w:w="1044"/>
        <w:gridCol w:w="1099"/>
        <w:gridCol w:w="1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85" w:type="pct"/>
          </w:tcPr>
          <w:p>
            <w:pPr>
              <w:widowControl/>
              <w:spacing w:line="240" w:lineRule="auto"/>
              <w:ind w:left="0"/>
              <w:jc w:val="center"/>
              <w:textAlignment w:val="center"/>
              <w:rPr>
                <w:rFonts w:ascii="仿宋_GB2312" w:hAnsi="仿宋_GB2312" w:eastAsia="仿宋_GB2312" w:cs="仿宋_GB2312"/>
                <w:b/>
                <w:bCs/>
                <w:sz w:val="18"/>
                <w:szCs w:val="18"/>
                <w:lang w:bidi="ar"/>
              </w:rPr>
            </w:pPr>
            <w:r>
              <w:rPr>
                <w:rFonts w:hint="eastAsia" w:ascii="仿宋_GB2312" w:hAnsi="仿宋_GB2312" w:eastAsia="仿宋_GB2312" w:cs="仿宋_GB2312"/>
                <w:b/>
                <w:bCs/>
                <w:sz w:val="18"/>
                <w:szCs w:val="18"/>
                <w:lang w:bidi="ar"/>
              </w:rPr>
              <w:t>产品代码</w:t>
            </w:r>
          </w:p>
        </w:tc>
        <w:tc>
          <w:tcPr>
            <w:tcW w:w="581" w:type="pct"/>
          </w:tcPr>
          <w:p>
            <w:pPr>
              <w:widowControl/>
              <w:spacing w:line="240" w:lineRule="auto"/>
              <w:ind w:left="0"/>
              <w:jc w:val="center"/>
              <w:textAlignment w:val="center"/>
              <w:rPr>
                <w:rFonts w:ascii="仿宋_GB2312" w:hAnsi="仿宋_GB2312" w:eastAsia="仿宋_GB2312" w:cs="仿宋_GB2312"/>
                <w:b/>
                <w:bCs/>
                <w:sz w:val="18"/>
                <w:szCs w:val="18"/>
                <w:lang w:bidi="ar"/>
              </w:rPr>
            </w:pPr>
            <w:r>
              <w:rPr>
                <w:rFonts w:hint="eastAsia" w:ascii="仿宋_GB2312" w:hAnsi="仿宋_GB2312" w:eastAsia="仿宋_GB2312" w:cs="仿宋_GB2312"/>
                <w:b/>
                <w:bCs/>
                <w:sz w:val="18"/>
                <w:szCs w:val="18"/>
                <w:lang w:bidi="ar"/>
              </w:rPr>
              <w:t>注册证号</w:t>
            </w:r>
          </w:p>
        </w:tc>
        <w:tc>
          <w:tcPr>
            <w:tcW w:w="658" w:type="pct"/>
          </w:tcPr>
          <w:p>
            <w:pPr>
              <w:widowControl/>
              <w:spacing w:line="240" w:lineRule="auto"/>
              <w:ind w:left="0"/>
              <w:jc w:val="center"/>
              <w:textAlignment w:val="center"/>
              <w:rPr>
                <w:rFonts w:ascii="仿宋_GB2312" w:hAnsi="仿宋_GB2312" w:eastAsia="仿宋_GB2312" w:cs="仿宋_GB2312"/>
                <w:b/>
                <w:bCs/>
                <w:sz w:val="18"/>
                <w:szCs w:val="18"/>
                <w:lang w:bidi="ar"/>
              </w:rPr>
            </w:pPr>
            <w:r>
              <w:rPr>
                <w:rFonts w:hint="eastAsia" w:ascii="仿宋_GB2312" w:hAnsi="仿宋_GB2312" w:eastAsia="仿宋_GB2312" w:cs="仿宋_GB2312"/>
                <w:b/>
                <w:bCs/>
                <w:sz w:val="18"/>
                <w:szCs w:val="18"/>
                <w:lang w:bidi="ar"/>
              </w:rPr>
              <w:t>产品名称</w:t>
            </w:r>
          </w:p>
        </w:tc>
        <w:tc>
          <w:tcPr>
            <w:tcW w:w="695" w:type="pct"/>
          </w:tcPr>
          <w:p>
            <w:pPr>
              <w:widowControl/>
              <w:spacing w:line="240" w:lineRule="auto"/>
              <w:ind w:left="0"/>
              <w:jc w:val="center"/>
              <w:textAlignment w:val="center"/>
              <w:rPr>
                <w:rFonts w:ascii="仿宋_GB2312" w:hAnsi="仿宋_GB2312" w:eastAsia="仿宋_GB2312" w:cs="仿宋_GB2312"/>
                <w:b/>
                <w:bCs/>
                <w:sz w:val="18"/>
                <w:szCs w:val="18"/>
                <w:lang w:bidi="ar"/>
              </w:rPr>
            </w:pPr>
            <w:r>
              <w:rPr>
                <w:rFonts w:hint="eastAsia" w:ascii="仿宋_GB2312" w:hAnsi="仿宋_GB2312" w:eastAsia="仿宋_GB2312" w:cs="仿宋_GB2312"/>
                <w:b/>
                <w:bCs/>
                <w:sz w:val="18"/>
                <w:szCs w:val="18"/>
                <w:lang w:bidi="ar"/>
              </w:rPr>
              <w:t>规格型号</w:t>
            </w:r>
          </w:p>
        </w:tc>
        <w:tc>
          <w:tcPr>
            <w:tcW w:w="614" w:type="pct"/>
          </w:tcPr>
          <w:p>
            <w:pPr>
              <w:widowControl/>
              <w:spacing w:line="240" w:lineRule="auto"/>
              <w:ind w:left="0"/>
              <w:jc w:val="center"/>
              <w:textAlignment w:val="center"/>
              <w:rPr>
                <w:rFonts w:ascii="仿宋_GB2312" w:hAnsi="仿宋_GB2312" w:eastAsia="仿宋_GB2312" w:cs="仿宋_GB2312"/>
                <w:b/>
                <w:bCs/>
                <w:sz w:val="18"/>
                <w:szCs w:val="18"/>
                <w:lang w:bidi="ar"/>
              </w:rPr>
            </w:pPr>
            <w:r>
              <w:rPr>
                <w:rFonts w:hint="eastAsia" w:ascii="仿宋_GB2312" w:hAnsi="仿宋_GB2312" w:eastAsia="仿宋_GB2312" w:cs="仿宋_GB2312"/>
                <w:b/>
                <w:bCs/>
                <w:sz w:val="18"/>
                <w:szCs w:val="18"/>
                <w:lang w:bidi="ar"/>
              </w:rPr>
              <w:t>生产企业</w:t>
            </w:r>
          </w:p>
        </w:tc>
        <w:tc>
          <w:tcPr>
            <w:tcW w:w="591" w:type="pct"/>
          </w:tcPr>
          <w:p>
            <w:pPr>
              <w:widowControl/>
              <w:spacing w:line="240" w:lineRule="auto"/>
              <w:ind w:left="0"/>
              <w:jc w:val="center"/>
              <w:textAlignment w:val="center"/>
              <w:rPr>
                <w:rFonts w:ascii="仿宋_GB2312" w:hAnsi="仿宋_GB2312" w:eastAsia="仿宋_GB2312" w:cs="仿宋_GB2312"/>
                <w:b/>
                <w:bCs/>
                <w:sz w:val="18"/>
                <w:szCs w:val="18"/>
                <w:lang w:bidi="ar"/>
              </w:rPr>
            </w:pPr>
            <w:r>
              <w:rPr>
                <w:rFonts w:hint="eastAsia" w:ascii="仿宋_GB2312" w:hAnsi="仿宋_GB2312" w:eastAsia="仿宋_GB2312" w:cs="仿宋_GB2312"/>
                <w:b/>
                <w:bCs/>
                <w:sz w:val="18"/>
                <w:szCs w:val="18"/>
                <w:lang w:bidi="ar"/>
              </w:rPr>
              <w:t>投标企业</w:t>
            </w:r>
          </w:p>
        </w:tc>
        <w:tc>
          <w:tcPr>
            <w:tcW w:w="622" w:type="pct"/>
          </w:tcPr>
          <w:p>
            <w:pPr>
              <w:widowControl/>
              <w:spacing w:line="240" w:lineRule="auto"/>
              <w:ind w:left="0"/>
              <w:jc w:val="center"/>
              <w:textAlignment w:val="center"/>
              <w:rPr>
                <w:rFonts w:ascii="仿宋_GB2312" w:hAnsi="仿宋_GB2312" w:eastAsia="仿宋_GB2312" w:cs="仿宋_GB2312"/>
                <w:b/>
                <w:bCs/>
                <w:sz w:val="18"/>
                <w:szCs w:val="18"/>
                <w:lang w:bidi="ar"/>
              </w:rPr>
            </w:pPr>
            <w:r>
              <w:rPr>
                <w:rFonts w:hint="eastAsia" w:ascii="仿宋_GB2312" w:hAnsi="仿宋_GB2312" w:eastAsia="仿宋_GB2312" w:cs="仿宋_GB2312"/>
                <w:b/>
                <w:bCs/>
                <w:sz w:val="18"/>
                <w:szCs w:val="18"/>
                <w:lang w:bidi="ar"/>
              </w:rPr>
              <w:t>中选价格（元）</w:t>
            </w:r>
          </w:p>
        </w:tc>
        <w:tc>
          <w:tcPr>
            <w:tcW w:w="649" w:type="pct"/>
          </w:tcPr>
          <w:p>
            <w:pPr>
              <w:widowControl/>
              <w:spacing w:line="240" w:lineRule="auto"/>
              <w:ind w:left="0"/>
              <w:jc w:val="center"/>
              <w:textAlignment w:val="center"/>
              <w:rPr>
                <w:rFonts w:ascii="仿宋_GB2312" w:hAnsi="仿宋_GB2312" w:eastAsia="仿宋_GB2312" w:cs="仿宋_GB2312"/>
                <w:b/>
                <w:bCs/>
                <w:sz w:val="18"/>
                <w:szCs w:val="18"/>
                <w:lang w:bidi="ar"/>
              </w:rPr>
            </w:pPr>
            <w:r>
              <w:rPr>
                <w:rFonts w:hint="eastAsia" w:ascii="仿宋_GB2312" w:hAnsi="仿宋_GB2312" w:eastAsia="仿宋_GB2312" w:cs="仿宋_GB2312"/>
                <w:b/>
                <w:bCs/>
                <w:sz w:val="18"/>
                <w:szCs w:val="18"/>
                <w:lang w:bidi="ar"/>
              </w:rPr>
              <w:t>采购期限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pct"/>
          </w:tcPr>
          <w:p>
            <w:pPr>
              <w:spacing w:line="240" w:lineRule="auto"/>
              <w:rPr>
                <w:rFonts w:ascii="仿宋_GB2312" w:hAnsi="仿宋_GB2312" w:eastAsia="仿宋_GB2312" w:cs="仿宋_GB2312"/>
                <w:sz w:val="30"/>
                <w:szCs w:val="30"/>
              </w:rPr>
            </w:pPr>
          </w:p>
        </w:tc>
        <w:tc>
          <w:tcPr>
            <w:tcW w:w="581" w:type="pct"/>
          </w:tcPr>
          <w:p>
            <w:pPr>
              <w:spacing w:line="240" w:lineRule="auto"/>
              <w:rPr>
                <w:rFonts w:ascii="仿宋_GB2312" w:hAnsi="仿宋_GB2312" w:eastAsia="仿宋_GB2312" w:cs="仿宋_GB2312"/>
                <w:sz w:val="30"/>
                <w:szCs w:val="30"/>
              </w:rPr>
            </w:pPr>
          </w:p>
        </w:tc>
        <w:tc>
          <w:tcPr>
            <w:tcW w:w="658" w:type="pct"/>
          </w:tcPr>
          <w:p>
            <w:pPr>
              <w:spacing w:line="240" w:lineRule="auto"/>
              <w:rPr>
                <w:rFonts w:ascii="仿宋_GB2312" w:hAnsi="仿宋_GB2312" w:eastAsia="仿宋_GB2312" w:cs="仿宋_GB2312"/>
                <w:sz w:val="30"/>
                <w:szCs w:val="30"/>
              </w:rPr>
            </w:pPr>
          </w:p>
        </w:tc>
        <w:tc>
          <w:tcPr>
            <w:tcW w:w="695" w:type="pct"/>
          </w:tcPr>
          <w:p>
            <w:pPr>
              <w:spacing w:line="240" w:lineRule="auto"/>
              <w:rPr>
                <w:rFonts w:ascii="仿宋_GB2312" w:hAnsi="仿宋_GB2312" w:eastAsia="仿宋_GB2312" w:cs="仿宋_GB2312"/>
                <w:sz w:val="30"/>
                <w:szCs w:val="30"/>
              </w:rPr>
            </w:pPr>
          </w:p>
        </w:tc>
        <w:tc>
          <w:tcPr>
            <w:tcW w:w="614" w:type="pct"/>
          </w:tcPr>
          <w:p>
            <w:pPr>
              <w:spacing w:line="240" w:lineRule="auto"/>
              <w:rPr>
                <w:rFonts w:ascii="仿宋_GB2312" w:hAnsi="仿宋_GB2312" w:eastAsia="仿宋_GB2312" w:cs="仿宋_GB2312"/>
                <w:sz w:val="30"/>
                <w:szCs w:val="30"/>
              </w:rPr>
            </w:pPr>
          </w:p>
        </w:tc>
        <w:tc>
          <w:tcPr>
            <w:tcW w:w="591" w:type="pct"/>
          </w:tcPr>
          <w:p>
            <w:pPr>
              <w:spacing w:line="240" w:lineRule="auto"/>
              <w:rPr>
                <w:rFonts w:ascii="仿宋_GB2312" w:hAnsi="仿宋_GB2312" w:eastAsia="仿宋_GB2312" w:cs="仿宋_GB2312"/>
                <w:sz w:val="30"/>
                <w:szCs w:val="30"/>
              </w:rPr>
            </w:pPr>
          </w:p>
        </w:tc>
        <w:tc>
          <w:tcPr>
            <w:tcW w:w="622" w:type="pct"/>
          </w:tcPr>
          <w:p>
            <w:pPr>
              <w:spacing w:line="240" w:lineRule="auto"/>
              <w:rPr>
                <w:rFonts w:ascii="仿宋_GB2312" w:hAnsi="仿宋_GB2312" w:eastAsia="仿宋_GB2312" w:cs="仿宋_GB2312"/>
                <w:sz w:val="30"/>
                <w:szCs w:val="30"/>
              </w:rPr>
            </w:pPr>
          </w:p>
        </w:tc>
        <w:tc>
          <w:tcPr>
            <w:tcW w:w="649" w:type="pct"/>
          </w:tcPr>
          <w:p>
            <w:pPr>
              <w:spacing w:line="240" w:lineRule="auto"/>
              <w:rPr>
                <w:rFonts w:ascii="仿宋_GB2312" w:hAnsi="仿宋_GB2312" w:eastAsia="仿宋_GB2312" w:cs="仿宋_GB2312"/>
                <w:sz w:val="30"/>
                <w:szCs w:val="30"/>
              </w:rPr>
            </w:pPr>
          </w:p>
        </w:tc>
      </w:tr>
    </w:tbl>
    <w:p>
      <w:pPr>
        <w:pStyle w:val="2"/>
        <w:rPr>
          <w:color w:val="auto"/>
        </w:rPr>
      </w:pPr>
    </w:p>
    <w:p>
      <w:pPr>
        <w:pStyle w:val="2"/>
        <w:rPr>
          <w:color w:val="auto"/>
        </w:rPr>
      </w:pPr>
    </w:p>
    <w:bookmarkEnd w:id="117"/>
    <w:bookmarkEnd w:id="118"/>
    <w:bookmarkEnd w:id="120"/>
    <w:bookmarkEnd w:id="121"/>
    <w:bookmarkEnd w:id="122"/>
    <w:bookmarkEnd w:id="123"/>
    <w:bookmarkEnd w:id="124"/>
    <w:p>
      <w:pPr>
        <w:pStyle w:val="2"/>
        <w:rPr>
          <w:color w:val="auto"/>
        </w:rPr>
      </w:pPr>
    </w:p>
    <w:sectPr>
      <w:headerReference r:id="rId12" w:type="default"/>
      <w:footerReference r:id="rId13" w:type="default"/>
      <w:pgSz w:w="11906" w:h="16838"/>
      <w:pgMar w:top="2098" w:right="1474" w:bottom="1984" w:left="1587" w:header="851" w:footer="992" w:gutter="0"/>
      <w:cols w:space="425"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ＣＳ">
    <w:altName w:val="宋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inherit">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Style w:val="25"/>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23</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p>
                    <w:pPr>
                      <w:pStyle w:val="1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23</w:t>
                    </w:r>
                    <w:r>
                      <w:rPr>
                        <w:sz w:val="28"/>
                        <w:szCs w:val="28"/>
                      </w:rPr>
                      <w:fldChar w:fldCharType="end"/>
                    </w:r>
                    <w:r>
                      <w:rPr>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240" w:lineRule="auto"/>
      <w:jc w:val="left"/>
      <w:rPr>
        <w:rFonts w:ascii="华文仿宋" w:hAnsi="华文仿宋" w:eastAsia="华文仿宋" w:cs="华文仿宋"/>
      </w:rPr>
    </w:pPr>
    <w:r>
      <w:rPr>
        <w:rFonts w:hint="eastAsia" w:ascii="华文仿宋" w:hAnsi="华文仿宋" w:eastAsia="华文仿宋" w:cs="华文仿宋"/>
      </w:rPr>
      <w:t>深圳阳光平台中心静脉导管（PICC）价格谈判采购文件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240" w:lineRule="auto"/>
      <w:jc w:val="left"/>
    </w:pPr>
    <w:r>
      <w:rPr>
        <w:rFonts w:hint="eastAsia" w:ascii="华文仿宋" w:hAnsi="华文仿宋" w:eastAsia="华文仿宋" w:cs="华文仿宋"/>
      </w:rPr>
      <w:t>深圳阳光平台中心静脉导管（PICC）价格谈判采购文件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7953FD"/>
    <w:multiLevelType w:val="multilevel"/>
    <w:tmpl w:val="047953FD"/>
    <w:lvl w:ilvl="0" w:tentative="0">
      <w:start w:val="1"/>
      <w:numFmt w:val="chineseCountingThousand"/>
      <w:suff w:val="nothing"/>
      <w:lvlText w:val="第%1章"/>
      <w:lvlJc w:val="left"/>
      <w:pPr>
        <w:ind w:left="0" w:firstLine="0"/>
      </w:pPr>
      <w:rPr>
        <w:rFonts w:hint="eastAsia" w:ascii="仿宋ＣＳ" w:eastAsia="仿宋ＣＳ"/>
        <w:b/>
        <w:i w:val="0"/>
        <w:sz w:val="32"/>
      </w:rPr>
    </w:lvl>
    <w:lvl w:ilvl="1" w:tentative="0">
      <w:start w:val="1"/>
      <w:numFmt w:val="chineseCountingThousand"/>
      <w:pStyle w:val="4"/>
      <w:suff w:val="nothing"/>
      <w:lvlText w:val="第%2条"/>
      <w:lvlJc w:val="left"/>
      <w:pPr>
        <w:ind w:left="0" w:firstLine="0"/>
      </w:pPr>
      <w:rPr>
        <w:rFonts w:hint="eastAsia" w:ascii="仿宋ＣＳ" w:eastAsia="仿宋ＣＳ"/>
        <w:b/>
        <w:i w:val="0"/>
        <w:sz w:val="30"/>
      </w:rPr>
    </w:lvl>
    <w:lvl w:ilvl="2" w:tentative="0">
      <w:start w:val="1"/>
      <w:numFmt w:val="chineseCountingThousand"/>
      <w:lvlRestart w:val="0"/>
      <w:suff w:val="nothing"/>
      <w:lvlText w:val="（%3）"/>
      <w:lvlJc w:val="left"/>
      <w:pPr>
        <w:ind w:left="0" w:firstLine="0"/>
      </w:pPr>
      <w:rPr>
        <w:rFonts w:hint="eastAsia" w:ascii="仿宋ＣＳ" w:eastAsia="仿宋ＣＳ"/>
        <w:b w:val="0"/>
        <w:i w:val="0"/>
        <w:sz w:val="30"/>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4C810CF4"/>
    <w:multiLevelType w:val="singleLevel"/>
    <w:tmpl w:val="4C810CF4"/>
    <w:lvl w:ilvl="0" w:tentative="0">
      <w:start w:val="1"/>
      <w:numFmt w:val="chineseCounting"/>
      <w:suff w:val="nothing"/>
      <w:lvlText w:val="（%1）"/>
      <w:lvlJc w:val="left"/>
      <w:rPr>
        <w:rFonts w:hint="eastAsia" w:ascii="楷体_GB2312" w:hAnsi="楷体_GB2312" w:eastAsia="楷体_GB2312" w:cs="楷体_GB231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UxNjJlYzY5ZWI0Mjg3NmFmYzA4NGQ5YjA3ZmU2NGMifQ=="/>
  </w:docVars>
  <w:rsids>
    <w:rsidRoot w:val="00493799"/>
    <w:rsid w:val="0000061D"/>
    <w:rsid w:val="00004CE1"/>
    <w:rsid w:val="0001245A"/>
    <w:rsid w:val="00012AF4"/>
    <w:rsid w:val="00012C16"/>
    <w:rsid w:val="00025E86"/>
    <w:rsid w:val="00026E43"/>
    <w:rsid w:val="0003590A"/>
    <w:rsid w:val="000548EE"/>
    <w:rsid w:val="00064219"/>
    <w:rsid w:val="00066376"/>
    <w:rsid w:val="00073BAD"/>
    <w:rsid w:val="00074438"/>
    <w:rsid w:val="000A2A31"/>
    <w:rsid w:val="000A7E0D"/>
    <w:rsid w:val="000B16E5"/>
    <w:rsid w:val="000B70D6"/>
    <w:rsid w:val="000C21B7"/>
    <w:rsid w:val="000C53FF"/>
    <w:rsid w:val="000D0CE9"/>
    <w:rsid w:val="000D740A"/>
    <w:rsid w:val="000F3E22"/>
    <w:rsid w:val="000F4CC3"/>
    <w:rsid w:val="000F5F44"/>
    <w:rsid w:val="00116334"/>
    <w:rsid w:val="00124DFC"/>
    <w:rsid w:val="00136E25"/>
    <w:rsid w:val="00137FE8"/>
    <w:rsid w:val="001478E7"/>
    <w:rsid w:val="0015188E"/>
    <w:rsid w:val="00152683"/>
    <w:rsid w:val="0015483D"/>
    <w:rsid w:val="00162FE7"/>
    <w:rsid w:val="00167000"/>
    <w:rsid w:val="001674B2"/>
    <w:rsid w:val="001708A9"/>
    <w:rsid w:val="00171956"/>
    <w:rsid w:val="00174B71"/>
    <w:rsid w:val="00182D6A"/>
    <w:rsid w:val="00186DB9"/>
    <w:rsid w:val="00187501"/>
    <w:rsid w:val="00196805"/>
    <w:rsid w:val="001A009E"/>
    <w:rsid w:val="001A5F6B"/>
    <w:rsid w:val="001B36A9"/>
    <w:rsid w:val="001B754A"/>
    <w:rsid w:val="001C63F9"/>
    <w:rsid w:val="001C74C1"/>
    <w:rsid w:val="001D76E5"/>
    <w:rsid w:val="001E4080"/>
    <w:rsid w:val="001E6827"/>
    <w:rsid w:val="001E7DD0"/>
    <w:rsid w:val="001F4C10"/>
    <w:rsid w:val="00206E95"/>
    <w:rsid w:val="00226E95"/>
    <w:rsid w:val="00235F87"/>
    <w:rsid w:val="00241F7F"/>
    <w:rsid w:val="002467EF"/>
    <w:rsid w:val="00253335"/>
    <w:rsid w:val="0026261F"/>
    <w:rsid w:val="00263BAA"/>
    <w:rsid w:val="00267969"/>
    <w:rsid w:val="00277700"/>
    <w:rsid w:val="002846BA"/>
    <w:rsid w:val="00290BE0"/>
    <w:rsid w:val="002949BE"/>
    <w:rsid w:val="00295AC6"/>
    <w:rsid w:val="002A267F"/>
    <w:rsid w:val="002A5404"/>
    <w:rsid w:val="002B2E4A"/>
    <w:rsid w:val="002B4272"/>
    <w:rsid w:val="002C032C"/>
    <w:rsid w:val="002C47F8"/>
    <w:rsid w:val="002D574C"/>
    <w:rsid w:val="002D5877"/>
    <w:rsid w:val="002E0374"/>
    <w:rsid w:val="002E4967"/>
    <w:rsid w:val="002E614B"/>
    <w:rsid w:val="002F2BCF"/>
    <w:rsid w:val="002F5EDB"/>
    <w:rsid w:val="00302C8D"/>
    <w:rsid w:val="003039CD"/>
    <w:rsid w:val="00307A82"/>
    <w:rsid w:val="00310FD9"/>
    <w:rsid w:val="003120F0"/>
    <w:rsid w:val="003240F6"/>
    <w:rsid w:val="00326B90"/>
    <w:rsid w:val="00331CA5"/>
    <w:rsid w:val="0033286C"/>
    <w:rsid w:val="003400F2"/>
    <w:rsid w:val="00343963"/>
    <w:rsid w:val="00347D10"/>
    <w:rsid w:val="0035019B"/>
    <w:rsid w:val="00360B41"/>
    <w:rsid w:val="0037482D"/>
    <w:rsid w:val="00377CE9"/>
    <w:rsid w:val="00380D3D"/>
    <w:rsid w:val="00381D90"/>
    <w:rsid w:val="00382590"/>
    <w:rsid w:val="003831B6"/>
    <w:rsid w:val="003845BA"/>
    <w:rsid w:val="00390063"/>
    <w:rsid w:val="00390254"/>
    <w:rsid w:val="00393C2F"/>
    <w:rsid w:val="00396521"/>
    <w:rsid w:val="003A1761"/>
    <w:rsid w:val="003A178A"/>
    <w:rsid w:val="003C16CC"/>
    <w:rsid w:val="003C51E6"/>
    <w:rsid w:val="003D0D35"/>
    <w:rsid w:val="003D3FD7"/>
    <w:rsid w:val="003D4926"/>
    <w:rsid w:val="003D4D1D"/>
    <w:rsid w:val="003E03CE"/>
    <w:rsid w:val="003E0819"/>
    <w:rsid w:val="003E0C88"/>
    <w:rsid w:val="003E2655"/>
    <w:rsid w:val="003F10F9"/>
    <w:rsid w:val="003F2D48"/>
    <w:rsid w:val="003F3BDE"/>
    <w:rsid w:val="0040025D"/>
    <w:rsid w:val="004016A3"/>
    <w:rsid w:val="00401A52"/>
    <w:rsid w:val="00402B08"/>
    <w:rsid w:val="004104C3"/>
    <w:rsid w:val="0041119F"/>
    <w:rsid w:val="004242BE"/>
    <w:rsid w:val="00427B2A"/>
    <w:rsid w:val="00427D38"/>
    <w:rsid w:val="004300BB"/>
    <w:rsid w:val="00430598"/>
    <w:rsid w:val="00433F5B"/>
    <w:rsid w:val="0044114A"/>
    <w:rsid w:val="00442470"/>
    <w:rsid w:val="004434F5"/>
    <w:rsid w:val="00443D28"/>
    <w:rsid w:val="00447FDE"/>
    <w:rsid w:val="00450BA9"/>
    <w:rsid w:val="004546F8"/>
    <w:rsid w:val="00464E6E"/>
    <w:rsid w:val="00466EBF"/>
    <w:rsid w:val="00471618"/>
    <w:rsid w:val="00473917"/>
    <w:rsid w:val="00476027"/>
    <w:rsid w:val="00480895"/>
    <w:rsid w:val="00484AEB"/>
    <w:rsid w:val="00493799"/>
    <w:rsid w:val="00493F48"/>
    <w:rsid w:val="004955CA"/>
    <w:rsid w:val="00496A92"/>
    <w:rsid w:val="00496BE2"/>
    <w:rsid w:val="004A162B"/>
    <w:rsid w:val="004A1D87"/>
    <w:rsid w:val="004A2352"/>
    <w:rsid w:val="004A7563"/>
    <w:rsid w:val="004B0B90"/>
    <w:rsid w:val="004B2045"/>
    <w:rsid w:val="004B41E3"/>
    <w:rsid w:val="004C0177"/>
    <w:rsid w:val="004D1A8C"/>
    <w:rsid w:val="004D1DEB"/>
    <w:rsid w:val="004D6564"/>
    <w:rsid w:val="004E074C"/>
    <w:rsid w:val="004E097F"/>
    <w:rsid w:val="004E2831"/>
    <w:rsid w:val="004E3F9E"/>
    <w:rsid w:val="004F11B2"/>
    <w:rsid w:val="004F2BED"/>
    <w:rsid w:val="004F633B"/>
    <w:rsid w:val="00507F6A"/>
    <w:rsid w:val="00510B9E"/>
    <w:rsid w:val="00517113"/>
    <w:rsid w:val="00517A65"/>
    <w:rsid w:val="00533ED3"/>
    <w:rsid w:val="005342A9"/>
    <w:rsid w:val="005360A0"/>
    <w:rsid w:val="00540AD6"/>
    <w:rsid w:val="00541170"/>
    <w:rsid w:val="00543CD9"/>
    <w:rsid w:val="00544044"/>
    <w:rsid w:val="0054523A"/>
    <w:rsid w:val="00545445"/>
    <w:rsid w:val="005520EB"/>
    <w:rsid w:val="00555DD1"/>
    <w:rsid w:val="00563DEC"/>
    <w:rsid w:val="005658CC"/>
    <w:rsid w:val="00577FDC"/>
    <w:rsid w:val="00591C6D"/>
    <w:rsid w:val="00592F9F"/>
    <w:rsid w:val="0059391C"/>
    <w:rsid w:val="00594353"/>
    <w:rsid w:val="00597E50"/>
    <w:rsid w:val="005A0A44"/>
    <w:rsid w:val="005A1789"/>
    <w:rsid w:val="005B3898"/>
    <w:rsid w:val="005C7703"/>
    <w:rsid w:val="005D1C51"/>
    <w:rsid w:val="005D5FCB"/>
    <w:rsid w:val="005D6EF3"/>
    <w:rsid w:val="005D6FF9"/>
    <w:rsid w:val="005E06AF"/>
    <w:rsid w:val="005E2881"/>
    <w:rsid w:val="005E3FF2"/>
    <w:rsid w:val="005F0311"/>
    <w:rsid w:val="005F68A1"/>
    <w:rsid w:val="00600CE9"/>
    <w:rsid w:val="00601FD5"/>
    <w:rsid w:val="00604651"/>
    <w:rsid w:val="00606CE8"/>
    <w:rsid w:val="006101B5"/>
    <w:rsid w:val="006209CE"/>
    <w:rsid w:val="00622EC8"/>
    <w:rsid w:val="00624EFC"/>
    <w:rsid w:val="00636BD9"/>
    <w:rsid w:val="00640BC0"/>
    <w:rsid w:val="00646A5B"/>
    <w:rsid w:val="006506F8"/>
    <w:rsid w:val="00650BBF"/>
    <w:rsid w:val="00653090"/>
    <w:rsid w:val="00653209"/>
    <w:rsid w:val="006547DD"/>
    <w:rsid w:val="006576F5"/>
    <w:rsid w:val="006611D4"/>
    <w:rsid w:val="00671940"/>
    <w:rsid w:val="006746AE"/>
    <w:rsid w:val="00686619"/>
    <w:rsid w:val="00687F91"/>
    <w:rsid w:val="00696FB7"/>
    <w:rsid w:val="006A1A3C"/>
    <w:rsid w:val="006C4A17"/>
    <w:rsid w:val="006D7B38"/>
    <w:rsid w:val="006E4853"/>
    <w:rsid w:val="006E5F66"/>
    <w:rsid w:val="006E630A"/>
    <w:rsid w:val="006E65D7"/>
    <w:rsid w:val="006E72CB"/>
    <w:rsid w:val="0070287D"/>
    <w:rsid w:val="0070654D"/>
    <w:rsid w:val="00714A04"/>
    <w:rsid w:val="007150AB"/>
    <w:rsid w:val="00723AB7"/>
    <w:rsid w:val="00723D39"/>
    <w:rsid w:val="007279CA"/>
    <w:rsid w:val="00732819"/>
    <w:rsid w:val="00740E4C"/>
    <w:rsid w:val="00746F5B"/>
    <w:rsid w:val="00747ABF"/>
    <w:rsid w:val="007502C9"/>
    <w:rsid w:val="0077204F"/>
    <w:rsid w:val="0077281D"/>
    <w:rsid w:val="00781389"/>
    <w:rsid w:val="00782A6B"/>
    <w:rsid w:val="00784957"/>
    <w:rsid w:val="007931CA"/>
    <w:rsid w:val="00797248"/>
    <w:rsid w:val="007974FF"/>
    <w:rsid w:val="007B36AD"/>
    <w:rsid w:val="007B3ADC"/>
    <w:rsid w:val="007B557B"/>
    <w:rsid w:val="007C21B5"/>
    <w:rsid w:val="007C5802"/>
    <w:rsid w:val="007C6C79"/>
    <w:rsid w:val="007D2368"/>
    <w:rsid w:val="007D23C1"/>
    <w:rsid w:val="007D3F50"/>
    <w:rsid w:val="007F78AB"/>
    <w:rsid w:val="00807828"/>
    <w:rsid w:val="00835A7C"/>
    <w:rsid w:val="008432D8"/>
    <w:rsid w:val="008464F0"/>
    <w:rsid w:val="008550FA"/>
    <w:rsid w:val="008622D3"/>
    <w:rsid w:val="008660D1"/>
    <w:rsid w:val="00867910"/>
    <w:rsid w:val="00867D35"/>
    <w:rsid w:val="008714B9"/>
    <w:rsid w:val="00871C6B"/>
    <w:rsid w:val="00877378"/>
    <w:rsid w:val="0088104C"/>
    <w:rsid w:val="008909B3"/>
    <w:rsid w:val="0089356F"/>
    <w:rsid w:val="008A5164"/>
    <w:rsid w:val="008B3B04"/>
    <w:rsid w:val="008C57C7"/>
    <w:rsid w:val="008C7C7B"/>
    <w:rsid w:val="008D4F6C"/>
    <w:rsid w:val="008E0EC3"/>
    <w:rsid w:val="008E45E8"/>
    <w:rsid w:val="008F5396"/>
    <w:rsid w:val="00911A98"/>
    <w:rsid w:val="009167A5"/>
    <w:rsid w:val="00917878"/>
    <w:rsid w:val="00923EA7"/>
    <w:rsid w:val="00925375"/>
    <w:rsid w:val="0092622F"/>
    <w:rsid w:val="00927CB0"/>
    <w:rsid w:val="00930F70"/>
    <w:rsid w:val="00932707"/>
    <w:rsid w:val="0093398A"/>
    <w:rsid w:val="0094225C"/>
    <w:rsid w:val="00944861"/>
    <w:rsid w:val="00944906"/>
    <w:rsid w:val="0095226B"/>
    <w:rsid w:val="00964060"/>
    <w:rsid w:val="00964198"/>
    <w:rsid w:val="00973CCA"/>
    <w:rsid w:val="00973F8D"/>
    <w:rsid w:val="0097567E"/>
    <w:rsid w:val="00980233"/>
    <w:rsid w:val="00982AE6"/>
    <w:rsid w:val="00993D55"/>
    <w:rsid w:val="00997FB4"/>
    <w:rsid w:val="009A38A9"/>
    <w:rsid w:val="009A6688"/>
    <w:rsid w:val="009B71A2"/>
    <w:rsid w:val="009C35AE"/>
    <w:rsid w:val="009D0823"/>
    <w:rsid w:val="009E1CFD"/>
    <w:rsid w:val="009E2316"/>
    <w:rsid w:val="009E5E48"/>
    <w:rsid w:val="009F2BFE"/>
    <w:rsid w:val="00A00479"/>
    <w:rsid w:val="00A00E78"/>
    <w:rsid w:val="00A01FB5"/>
    <w:rsid w:val="00A1215B"/>
    <w:rsid w:val="00A12C19"/>
    <w:rsid w:val="00A13807"/>
    <w:rsid w:val="00A1434E"/>
    <w:rsid w:val="00A26F70"/>
    <w:rsid w:val="00A35FA9"/>
    <w:rsid w:val="00A6280B"/>
    <w:rsid w:val="00A663AD"/>
    <w:rsid w:val="00A71396"/>
    <w:rsid w:val="00A81017"/>
    <w:rsid w:val="00A8199E"/>
    <w:rsid w:val="00A82B4A"/>
    <w:rsid w:val="00A947E7"/>
    <w:rsid w:val="00AA3FA9"/>
    <w:rsid w:val="00AB3C2B"/>
    <w:rsid w:val="00AB3F16"/>
    <w:rsid w:val="00AD146B"/>
    <w:rsid w:val="00AD351A"/>
    <w:rsid w:val="00AF2D88"/>
    <w:rsid w:val="00AF433D"/>
    <w:rsid w:val="00AF6646"/>
    <w:rsid w:val="00B021DA"/>
    <w:rsid w:val="00B034CB"/>
    <w:rsid w:val="00B05350"/>
    <w:rsid w:val="00B06500"/>
    <w:rsid w:val="00B11AD7"/>
    <w:rsid w:val="00B11D3F"/>
    <w:rsid w:val="00B13272"/>
    <w:rsid w:val="00B13686"/>
    <w:rsid w:val="00B14147"/>
    <w:rsid w:val="00B14D05"/>
    <w:rsid w:val="00B1786B"/>
    <w:rsid w:val="00B22318"/>
    <w:rsid w:val="00B2741E"/>
    <w:rsid w:val="00B41FE0"/>
    <w:rsid w:val="00B51332"/>
    <w:rsid w:val="00B579A9"/>
    <w:rsid w:val="00B64ED2"/>
    <w:rsid w:val="00B65928"/>
    <w:rsid w:val="00B66286"/>
    <w:rsid w:val="00B75FE8"/>
    <w:rsid w:val="00B84979"/>
    <w:rsid w:val="00B91DD9"/>
    <w:rsid w:val="00B94A63"/>
    <w:rsid w:val="00BB1DC5"/>
    <w:rsid w:val="00BC1DE6"/>
    <w:rsid w:val="00BC3CDB"/>
    <w:rsid w:val="00BC774A"/>
    <w:rsid w:val="00BD3F05"/>
    <w:rsid w:val="00BD5714"/>
    <w:rsid w:val="00BD5744"/>
    <w:rsid w:val="00BD5A8B"/>
    <w:rsid w:val="00BD6EC8"/>
    <w:rsid w:val="00BE22A5"/>
    <w:rsid w:val="00BE308C"/>
    <w:rsid w:val="00BF7138"/>
    <w:rsid w:val="00C15DA6"/>
    <w:rsid w:val="00C270F1"/>
    <w:rsid w:val="00C42833"/>
    <w:rsid w:val="00C5140A"/>
    <w:rsid w:val="00C52AE8"/>
    <w:rsid w:val="00C57A7B"/>
    <w:rsid w:val="00C60D62"/>
    <w:rsid w:val="00C75036"/>
    <w:rsid w:val="00C83735"/>
    <w:rsid w:val="00C87E39"/>
    <w:rsid w:val="00C933A9"/>
    <w:rsid w:val="00CA47BE"/>
    <w:rsid w:val="00CA48A0"/>
    <w:rsid w:val="00CA48EA"/>
    <w:rsid w:val="00CA4EAA"/>
    <w:rsid w:val="00CA5B59"/>
    <w:rsid w:val="00CC440D"/>
    <w:rsid w:val="00CE10F8"/>
    <w:rsid w:val="00CE3237"/>
    <w:rsid w:val="00CE4150"/>
    <w:rsid w:val="00CF6C93"/>
    <w:rsid w:val="00D01023"/>
    <w:rsid w:val="00D07AF8"/>
    <w:rsid w:val="00D126D5"/>
    <w:rsid w:val="00D149F0"/>
    <w:rsid w:val="00D152B6"/>
    <w:rsid w:val="00D16D66"/>
    <w:rsid w:val="00D268C7"/>
    <w:rsid w:val="00D273BA"/>
    <w:rsid w:val="00D348CF"/>
    <w:rsid w:val="00D34D79"/>
    <w:rsid w:val="00D426A2"/>
    <w:rsid w:val="00D433F5"/>
    <w:rsid w:val="00D44476"/>
    <w:rsid w:val="00D45DF2"/>
    <w:rsid w:val="00D52953"/>
    <w:rsid w:val="00D54BBF"/>
    <w:rsid w:val="00D54C9B"/>
    <w:rsid w:val="00D55722"/>
    <w:rsid w:val="00D56E8C"/>
    <w:rsid w:val="00D67087"/>
    <w:rsid w:val="00D706DF"/>
    <w:rsid w:val="00D72BB7"/>
    <w:rsid w:val="00D82C7A"/>
    <w:rsid w:val="00D8536C"/>
    <w:rsid w:val="00D8601B"/>
    <w:rsid w:val="00D86E96"/>
    <w:rsid w:val="00D908DF"/>
    <w:rsid w:val="00DA106A"/>
    <w:rsid w:val="00DB2499"/>
    <w:rsid w:val="00DB5D8C"/>
    <w:rsid w:val="00DB6462"/>
    <w:rsid w:val="00DC071F"/>
    <w:rsid w:val="00DC1A13"/>
    <w:rsid w:val="00DD0E56"/>
    <w:rsid w:val="00DF507B"/>
    <w:rsid w:val="00DF5A8D"/>
    <w:rsid w:val="00E02B5F"/>
    <w:rsid w:val="00E14739"/>
    <w:rsid w:val="00E163B6"/>
    <w:rsid w:val="00E17FA9"/>
    <w:rsid w:val="00E21090"/>
    <w:rsid w:val="00E277F4"/>
    <w:rsid w:val="00E31DC8"/>
    <w:rsid w:val="00E40CB8"/>
    <w:rsid w:val="00E449DC"/>
    <w:rsid w:val="00E51BB9"/>
    <w:rsid w:val="00E526AD"/>
    <w:rsid w:val="00E54C60"/>
    <w:rsid w:val="00E557E8"/>
    <w:rsid w:val="00E60AC5"/>
    <w:rsid w:val="00E7555B"/>
    <w:rsid w:val="00E76F89"/>
    <w:rsid w:val="00E80D5E"/>
    <w:rsid w:val="00E8186C"/>
    <w:rsid w:val="00E91E58"/>
    <w:rsid w:val="00EA37A6"/>
    <w:rsid w:val="00EA3F29"/>
    <w:rsid w:val="00EC353C"/>
    <w:rsid w:val="00EC3DDC"/>
    <w:rsid w:val="00ED3606"/>
    <w:rsid w:val="00EE0944"/>
    <w:rsid w:val="00EF47D9"/>
    <w:rsid w:val="00EF62BC"/>
    <w:rsid w:val="00F0321B"/>
    <w:rsid w:val="00F1486B"/>
    <w:rsid w:val="00F16C85"/>
    <w:rsid w:val="00F17878"/>
    <w:rsid w:val="00F2584D"/>
    <w:rsid w:val="00F27AF7"/>
    <w:rsid w:val="00F36E44"/>
    <w:rsid w:val="00F40D3B"/>
    <w:rsid w:val="00F41733"/>
    <w:rsid w:val="00F45019"/>
    <w:rsid w:val="00F4629B"/>
    <w:rsid w:val="00F5077D"/>
    <w:rsid w:val="00F549B3"/>
    <w:rsid w:val="00F54A21"/>
    <w:rsid w:val="00F70CC5"/>
    <w:rsid w:val="00F7150F"/>
    <w:rsid w:val="00F77137"/>
    <w:rsid w:val="00F93748"/>
    <w:rsid w:val="00F93BBE"/>
    <w:rsid w:val="00F93BCC"/>
    <w:rsid w:val="00F93EA2"/>
    <w:rsid w:val="00F96145"/>
    <w:rsid w:val="00F97155"/>
    <w:rsid w:val="00FA168E"/>
    <w:rsid w:val="00FB472B"/>
    <w:rsid w:val="00FC33D0"/>
    <w:rsid w:val="00FC5650"/>
    <w:rsid w:val="00FF0F18"/>
    <w:rsid w:val="00FF5D26"/>
    <w:rsid w:val="00FF6A17"/>
    <w:rsid w:val="00FF6DBC"/>
    <w:rsid w:val="00FF7DD5"/>
    <w:rsid w:val="010609AB"/>
    <w:rsid w:val="010F10BE"/>
    <w:rsid w:val="013B3247"/>
    <w:rsid w:val="01460861"/>
    <w:rsid w:val="01502484"/>
    <w:rsid w:val="01836476"/>
    <w:rsid w:val="01980954"/>
    <w:rsid w:val="01B40E34"/>
    <w:rsid w:val="01DD0CEC"/>
    <w:rsid w:val="0221420C"/>
    <w:rsid w:val="02222BA0"/>
    <w:rsid w:val="023459A2"/>
    <w:rsid w:val="025B2711"/>
    <w:rsid w:val="02610CD6"/>
    <w:rsid w:val="02967839"/>
    <w:rsid w:val="02CE2AD5"/>
    <w:rsid w:val="0300648D"/>
    <w:rsid w:val="031129DA"/>
    <w:rsid w:val="032A7F37"/>
    <w:rsid w:val="033F03E5"/>
    <w:rsid w:val="03453BC2"/>
    <w:rsid w:val="037E006D"/>
    <w:rsid w:val="03EB5B59"/>
    <w:rsid w:val="03FF312C"/>
    <w:rsid w:val="03FF45C2"/>
    <w:rsid w:val="04064974"/>
    <w:rsid w:val="041813DE"/>
    <w:rsid w:val="045A709D"/>
    <w:rsid w:val="046C559C"/>
    <w:rsid w:val="047C4DC5"/>
    <w:rsid w:val="048418C5"/>
    <w:rsid w:val="04C4250B"/>
    <w:rsid w:val="04DE5D52"/>
    <w:rsid w:val="05060E88"/>
    <w:rsid w:val="051800A1"/>
    <w:rsid w:val="05235453"/>
    <w:rsid w:val="055012F4"/>
    <w:rsid w:val="055D112D"/>
    <w:rsid w:val="055D4606"/>
    <w:rsid w:val="05633C55"/>
    <w:rsid w:val="05765410"/>
    <w:rsid w:val="057C6C7E"/>
    <w:rsid w:val="059D00E0"/>
    <w:rsid w:val="05A312FD"/>
    <w:rsid w:val="05A6434C"/>
    <w:rsid w:val="05C875E1"/>
    <w:rsid w:val="05D032D4"/>
    <w:rsid w:val="05D049B7"/>
    <w:rsid w:val="05D5230A"/>
    <w:rsid w:val="05EE7841"/>
    <w:rsid w:val="06544D84"/>
    <w:rsid w:val="066119A2"/>
    <w:rsid w:val="06795A51"/>
    <w:rsid w:val="068239C1"/>
    <w:rsid w:val="06A01628"/>
    <w:rsid w:val="06B900CC"/>
    <w:rsid w:val="06C20DF0"/>
    <w:rsid w:val="06CE408D"/>
    <w:rsid w:val="06D62929"/>
    <w:rsid w:val="06EF7BBF"/>
    <w:rsid w:val="07105B5E"/>
    <w:rsid w:val="07257A01"/>
    <w:rsid w:val="07345059"/>
    <w:rsid w:val="07430179"/>
    <w:rsid w:val="074D5529"/>
    <w:rsid w:val="07663CD1"/>
    <w:rsid w:val="077210AE"/>
    <w:rsid w:val="07730B9B"/>
    <w:rsid w:val="07B52A26"/>
    <w:rsid w:val="07BF1FCC"/>
    <w:rsid w:val="07C2455A"/>
    <w:rsid w:val="07D11C26"/>
    <w:rsid w:val="07DB66BF"/>
    <w:rsid w:val="07E57068"/>
    <w:rsid w:val="07F03015"/>
    <w:rsid w:val="08016084"/>
    <w:rsid w:val="084E675A"/>
    <w:rsid w:val="0852673F"/>
    <w:rsid w:val="08581223"/>
    <w:rsid w:val="085C5B01"/>
    <w:rsid w:val="086404D3"/>
    <w:rsid w:val="08A73EC6"/>
    <w:rsid w:val="08C20870"/>
    <w:rsid w:val="08D24BE7"/>
    <w:rsid w:val="08DC0F59"/>
    <w:rsid w:val="08E46D1D"/>
    <w:rsid w:val="090B6283"/>
    <w:rsid w:val="095A0A0E"/>
    <w:rsid w:val="095B4795"/>
    <w:rsid w:val="09891488"/>
    <w:rsid w:val="09C22977"/>
    <w:rsid w:val="09E55D6D"/>
    <w:rsid w:val="09FD21F9"/>
    <w:rsid w:val="0A225AE1"/>
    <w:rsid w:val="0A2A160A"/>
    <w:rsid w:val="0A2C3AEC"/>
    <w:rsid w:val="0A480594"/>
    <w:rsid w:val="0A7C15F2"/>
    <w:rsid w:val="0A9111B7"/>
    <w:rsid w:val="0A9132C4"/>
    <w:rsid w:val="0A9B7920"/>
    <w:rsid w:val="0AA62C62"/>
    <w:rsid w:val="0AA76B1D"/>
    <w:rsid w:val="0AB110B9"/>
    <w:rsid w:val="0ADE46F2"/>
    <w:rsid w:val="0AE2165D"/>
    <w:rsid w:val="0AE41DE0"/>
    <w:rsid w:val="0AEB350E"/>
    <w:rsid w:val="0B0615C5"/>
    <w:rsid w:val="0B3A2194"/>
    <w:rsid w:val="0B3E51AD"/>
    <w:rsid w:val="0B7F77E5"/>
    <w:rsid w:val="0B980942"/>
    <w:rsid w:val="0C0825BB"/>
    <w:rsid w:val="0C087724"/>
    <w:rsid w:val="0C1F0DAF"/>
    <w:rsid w:val="0C696EBC"/>
    <w:rsid w:val="0CBA425E"/>
    <w:rsid w:val="0D073D5B"/>
    <w:rsid w:val="0D420B81"/>
    <w:rsid w:val="0D420ED2"/>
    <w:rsid w:val="0D500C1D"/>
    <w:rsid w:val="0D932E29"/>
    <w:rsid w:val="0D9869F7"/>
    <w:rsid w:val="0E293897"/>
    <w:rsid w:val="0E534CAB"/>
    <w:rsid w:val="0E7A3B6F"/>
    <w:rsid w:val="0E93638D"/>
    <w:rsid w:val="0E995583"/>
    <w:rsid w:val="0EA216AA"/>
    <w:rsid w:val="0EA864B2"/>
    <w:rsid w:val="0EBD3A78"/>
    <w:rsid w:val="0EC40ADC"/>
    <w:rsid w:val="0EE14263"/>
    <w:rsid w:val="0F11155B"/>
    <w:rsid w:val="0F577536"/>
    <w:rsid w:val="0F655C62"/>
    <w:rsid w:val="0F842E8D"/>
    <w:rsid w:val="0F9603C4"/>
    <w:rsid w:val="0FD55720"/>
    <w:rsid w:val="0FDC5E24"/>
    <w:rsid w:val="10647AA2"/>
    <w:rsid w:val="10873C74"/>
    <w:rsid w:val="108A23E9"/>
    <w:rsid w:val="1097723F"/>
    <w:rsid w:val="10F31AAD"/>
    <w:rsid w:val="10F9493F"/>
    <w:rsid w:val="11042B9B"/>
    <w:rsid w:val="110F1138"/>
    <w:rsid w:val="11501E23"/>
    <w:rsid w:val="116146FB"/>
    <w:rsid w:val="11727ABA"/>
    <w:rsid w:val="118D5378"/>
    <w:rsid w:val="118E6C1B"/>
    <w:rsid w:val="11A432BC"/>
    <w:rsid w:val="11BA2FF3"/>
    <w:rsid w:val="1213717D"/>
    <w:rsid w:val="122913C3"/>
    <w:rsid w:val="12343089"/>
    <w:rsid w:val="126C0A6D"/>
    <w:rsid w:val="126C1968"/>
    <w:rsid w:val="126C21CF"/>
    <w:rsid w:val="129D4A25"/>
    <w:rsid w:val="12A36C64"/>
    <w:rsid w:val="12B83DFB"/>
    <w:rsid w:val="12DA6112"/>
    <w:rsid w:val="13045BD5"/>
    <w:rsid w:val="131259B0"/>
    <w:rsid w:val="131E7703"/>
    <w:rsid w:val="13510306"/>
    <w:rsid w:val="137B67C5"/>
    <w:rsid w:val="13A80CCD"/>
    <w:rsid w:val="14196AC8"/>
    <w:rsid w:val="14306B3E"/>
    <w:rsid w:val="1447430A"/>
    <w:rsid w:val="14AC029A"/>
    <w:rsid w:val="14EF24EF"/>
    <w:rsid w:val="15027E50"/>
    <w:rsid w:val="15350898"/>
    <w:rsid w:val="155326FD"/>
    <w:rsid w:val="1560118C"/>
    <w:rsid w:val="1571444A"/>
    <w:rsid w:val="15AA6F86"/>
    <w:rsid w:val="15B31E71"/>
    <w:rsid w:val="15DB1931"/>
    <w:rsid w:val="15DE00DF"/>
    <w:rsid w:val="15EA25F4"/>
    <w:rsid w:val="15F30995"/>
    <w:rsid w:val="15F520C6"/>
    <w:rsid w:val="1634328D"/>
    <w:rsid w:val="163B4C1B"/>
    <w:rsid w:val="164B5DD8"/>
    <w:rsid w:val="16870D73"/>
    <w:rsid w:val="1695191F"/>
    <w:rsid w:val="16D65668"/>
    <w:rsid w:val="172A52AF"/>
    <w:rsid w:val="173331A3"/>
    <w:rsid w:val="173C5CB6"/>
    <w:rsid w:val="17423448"/>
    <w:rsid w:val="17461729"/>
    <w:rsid w:val="175216B5"/>
    <w:rsid w:val="179D2D73"/>
    <w:rsid w:val="17AF56FC"/>
    <w:rsid w:val="17BA3D73"/>
    <w:rsid w:val="17C278E8"/>
    <w:rsid w:val="17E45866"/>
    <w:rsid w:val="18320F55"/>
    <w:rsid w:val="183D3660"/>
    <w:rsid w:val="183F4E3A"/>
    <w:rsid w:val="184C1C47"/>
    <w:rsid w:val="18537DF9"/>
    <w:rsid w:val="187C634E"/>
    <w:rsid w:val="188D7FFC"/>
    <w:rsid w:val="18A2181B"/>
    <w:rsid w:val="18BD721B"/>
    <w:rsid w:val="1915479E"/>
    <w:rsid w:val="19301458"/>
    <w:rsid w:val="19A4455B"/>
    <w:rsid w:val="19B736B8"/>
    <w:rsid w:val="19B74376"/>
    <w:rsid w:val="19E538A2"/>
    <w:rsid w:val="19E704C2"/>
    <w:rsid w:val="19EE0955"/>
    <w:rsid w:val="1A143502"/>
    <w:rsid w:val="1A35239F"/>
    <w:rsid w:val="1A3C68AE"/>
    <w:rsid w:val="1A3E7309"/>
    <w:rsid w:val="1A551905"/>
    <w:rsid w:val="1A604F28"/>
    <w:rsid w:val="1A7D743B"/>
    <w:rsid w:val="1A9360AE"/>
    <w:rsid w:val="1A9C51B0"/>
    <w:rsid w:val="1AAD6AA4"/>
    <w:rsid w:val="1AD403DA"/>
    <w:rsid w:val="1B3A7E3F"/>
    <w:rsid w:val="1B565D21"/>
    <w:rsid w:val="1B594C61"/>
    <w:rsid w:val="1B706E85"/>
    <w:rsid w:val="1B894436"/>
    <w:rsid w:val="1B8C17D0"/>
    <w:rsid w:val="1BBF79CA"/>
    <w:rsid w:val="1BCA73E7"/>
    <w:rsid w:val="1BE34A83"/>
    <w:rsid w:val="1BE44D83"/>
    <w:rsid w:val="1BE77401"/>
    <w:rsid w:val="1BEF23F9"/>
    <w:rsid w:val="1C11383D"/>
    <w:rsid w:val="1C347C36"/>
    <w:rsid w:val="1C56394D"/>
    <w:rsid w:val="1C6E3BE7"/>
    <w:rsid w:val="1C7708FF"/>
    <w:rsid w:val="1C8A0713"/>
    <w:rsid w:val="1CE03FDA"/>
    <w:rsid w:val="1CE81E2C"/>
    <w:rsid w:val="1D125821"/>
    <w:rsid w:val="1D4377EA"/>
    <w:rsid w:val="1D4F1B54"/>
    <w:rsid w:val="1D7D46FA"/>
    <w:rsid w:val="1D996BE3"/>
    <w:rsid w:val="1DF42EC3"/>
    <w:rsid w:val="1E0057A6"/>
    <w:rsid w:val="1E155469"/>
    <w:rsid w:val="1E2C38FC"/>
    <w:rsid w:val="1E5E59FC"/>
    <w:rsid w:val="1E6600E5"/>
    <w:rsid w:val="1E752812"/>
    <w:rsid w:val="1E8C222C"/>
    <w:rsid w:val="1E9C4A92"/>
    <w:rsid w:val="1EC24491"/>
    <w:rsid w:val="1ED1546F"/>
    <w:rsid w:val="1ED40528"/>
    <w:rsid w:val="1EF45DBC"/>
    <w:rsid w:val="1F004D05"/>
    <w:rsid w:val="1F36627B"/>
    <w:rsid w:val="1F38412F"/>
    <w:rsid w:val="1F550666"/>
    <w:rsid w:val="1F610893"/>
    <w:rsid w:val="1F6B6AFD"/>
    <w:rsid w:val="1F7E7117"/>
    <w:rsid w:val="1F9B55CD"/>
    <w:rsid w:val="1FAA4BFD"/>
    <w:rsid w:val="1FBC4D96"/>
    <w:rsid w:val="1FCA0E46"/>
    <w:rsid w:val="1FFD7B7D"/>
    <w:rsid w:val="200646E4"/>
    <w:rsid w:val="200D4875"/>
    <w:rsid w:val="20490C06"/>
    <w:rsid w:val="204C4118"/>
    <w:rsid w:val="20542074"/>
    <w:rsid w:val="206213E6"/>
    <w:rsid w:val="206F5B77"/>
    <w:rsid w:val="2081017E"/>
    <w:rsid w:val="209F0ED8"/>
    <w:rsid w:val="209F6DA8"/>
    <w:rsid w:val="20B54FFA"/>
    <w:rsid w:val="20CB5C8C"/>
    <w:rsid w:val="20DA60D1"/>
    <w:rsid w:val="21416F92"/>
    <w:rsid w:val="214A1F05"/>
    <w:rsid w:val="217A3AFC"/>
    <w:rsid w:val="21887860"/>
    <w:rsid w:val="219B5DF4"/>
    <w:rsid w:val="21C1735E"/>
    <w:rsid w:val="21E03D77"/>
    <w:rsid w:val="21F2034B"/>
    <w:rsid w:val="220228DA"/>
    <w:rsid w:val="227F1EB0"/>
    <w:rsid w:val="22CD12BB"/>
    <w:rsid w:val="22D66BDB"/>
    <w:rsid w:val="22D74DBB"/>
    <w:rsid w:val="22F5632F"/>
    <w:rsid w:val="230F04C2"/>
    <w:rsid w:val="234C1DD4"/>
    <w:rsid w:val="237465D8"/>
    <w:rsid w:val="23780277"/>
    <w:rsid w:val="23956521"/>
    <w:rsid w:val="23A86AC5"/>
    <w:rsid w:val="23F50A3D"/>
    <w:rsid w:val="23F645BB"/>
    <w:rsid w:val="23F81439"/>
    <w:rsid w:val="241A56F1"/>
    <w:rsid w:val="2448517A"/>
    <w:rsid w:val="24600DD6"/>
    <w:rsid w:val="24677D2A"/>
    <w:rsid w:val="24993FD3"/>
    <w:rsid w:val="24D85675"/>
    <w:rsid w:val="24DA52E1"/>
    <w:rsid w:val="24E00B3A"/>
    <w:rsid w:val="24EB311A"/>
    <w:rsid w:val="251743A6"/>
    <w:rsid w:val="254314F4"/>
    <w:rsid w:val="2586086C"/>
    <w:rsid w:val="259746CC"/>
    <w:rsid w:val="25BC4D06"/>
    <w:rsid w:val="25C3353B"/>
    <w:rsid w:val="25ED28D9"/>
    <w:rsid w:val="26077361"/>
    <w:rsid w:val="2629013D"/>
    <w:rsid w:val="26396D86"/>
    <w:rsid w:val="263B0CF3"/>
    <w:rsid w:val="26916E69"/>
    <w:rsid w:val="26B60A08"/>
    <w:rsid w:val="26C73693"/>
    <w:rsid w:val="26E0690B"/>
    <w:rsid w:val="270520B9"/>
    <w:rsid w:val="27057015"/>
    <w:rsid w:val="27094203"/>
    <w:rsid w:val="270A2997"/>
    <w:rsid w:val="27172EB4"/>
    <w:rsid w:val="274D29C9"/>
    <w:rsid w:val="27676FFF"/>
    <w:rsid w:val="27A45F32"/>
    <w:rsid w:val="27B3371C"/>
    <w:rsid w:val="27F9464D"/>
    <w:rsid w:val="27FC67B3"/>
    <w:rsid w:val="282004AF"/>
    <w:rsid w:val="282D1613"/>
    <w:rsid w:val="283908D5"/>
    <w:rsid w:val="283C0B3F"/>
    <w:rsid w:val="28610FC6"/>
    <w:rsid w:val="286D7BBE"/>
    <w:rsid w:val="28A14209"/>
    <w:rsid w:val="28D02B8C"/>
    <w:rsid w:val="28EB6BAD"/>
    <w:rsid w:val="29194C9B"/>
    <w:rsid w:val="29266B38"/>
    <w:rsid w:val="29332082"/>
    <w:rsid w:val="295427AB"/>
    <w:rsid w:val="298F0C53"/>
    <w:rsid w:val="299B7DC5"/>
    <w:rsid w:val="29A502F2"/>
    <w:rsid w:val="29BA5540"/>
    <w:rsid w:val="29D670EB"/>
    <w:rsid w:val="29DA121A"/>
    <w:rsid w:val="29E42D4E"/>
    <w:rsid w:val="2A50422A"/>
    <w:rsid w:val="2A5E1848"/>
    <w:rsid w:val="2A66678A"/>
    <w:rsid w:val="2B107492"/>
    <w:rsid w:val="2B3B7C1C"/>
    <w:rsid w:val="2B444260"/>
    <w:rsid w:val="2B507670"/>
    <w:rsid w:val="2B67670E"/>
    <w:rsid w:val="2B8F1F4F"/>
    <w:rsid w:val="2B917CD2"/>
    <w:rsid w:val="2B9628F1"/>
    <w:rsid w:val="2BAD7793"/>
    <w:rsid w:val="2BBA77B8"/>
    <w:rsid w:val="2BCA7DBB"/>
    <w:rsid w:val="2BD02B38"/>
    <w:rsid w:val="2BED0E79"/>
    <w:rsid w:val="2C096782"/>
    <w:rsid w:val="2C26141E"/>
    <w:rsid w:val="2C333916"/>
    <w:rsid w:val="2C476EE0"/>
    <w:rsid w:val="2C6E091F"/>
    <w:rsid w:val="2C790B31"/>
    <w:rsid w:val="2CA66129"/>
    <w:rsid w:val="2CAF27B4"/>
    <w:rsid w:val="2CC54E70"/>
    <w:rsid w:val="2CC73C37"/>
    <w:rsid w:val="2CEF7329"/>
    <w:rsid w:val="2D3853C8"/>
    <w:rsid w:val="2D6376F4"/>
    <w:rsid w:val="2D684E1E"/>
    <w:rsid w:val="2D7818C9"/>
    <w:rsid w:val="2D811108"/>
    <w:rsid w:val="2DBD47BB"/>
    <w:rsid w:val="2DD63665"/>
    <w:rsid w:val="2DDF0340"/>
    <w:rsid w:val="2DF2732F"/>
    <w:rsid w:val="2DF3790A"/>
    <w:rsid w:val="2DF901F0"/>
    <w:rsid w:val="2E2912DF"/>
    <w:rsid w:val="2E416901"/>
    <w:rsid w:val="2E617143"/>
    <w:rsid w:val="2E956B23"/>
    <w:rsid w:val="2E9A62AA"/>
    <w:rsid w:val="2E9F6A17"/>
    <w:rsid w:val="2EA035DC"/>
    <w:rsid w:val="2ED210C0"/>
    <w:rsid w:val="2EDB682E"/>
    <w:rsid w:val="2EF044BC"/>
    <w:rsid w:val="2F3E1C8F"/>
    <w:rsid w:val="2F466A74"/>
    <w:rsid w:val="2F4E5768"/>
    <w:rsid w:val="2F6B5608"/>
    <w:rsid w:val="2F8519B4"/>
    <w:rsid w:val="2F853468"/>
    <w:rsid w:val="2F875331"/>
    <w:rsid w:val="2FBA3ECA"/>
    <w:rsid w:val="2FDD497A"/>
    <w:rsid w:val="2FEF4069"/>
    <w:rsid w:val="307A513C"/>
    <w:rsid w:val="307A6A4C"/>
    <w:rsid w:val="309527F9"/>
    <w:rsid w:val="30962866"/>
    <w:rsid w:val="30B97F88"/>
    <w:rsid w:val="30C13155"/>
    <w:rsid w:val="30C602F4"/>
    <w:rsid w:val="30D51EDC"/>
    <w:rsid w:val="315903CA"/>
    <w:rsid w:val="319F74C3"/>
    <w:rsid w:val="31A16C56"/>
    <w:rsid w:val="31BB6996"/>
    <w:rsid w:val="31BD0F21"/>
    <w:rsid w:val="31E24806"/>
    <w:rsid w:val="31FD0923"/>
    <w:rsid w:val="32102610"/>
    <w:rsid w:val="32182A3F"/>
    <w:rsid w:val="32243349"/>
    <w:rsid w:val="324E5959"/>
    <w:rsid w:val="329170E5"/>
    <w:rsid w:val="329D6467"/>
    <w:rsid w:val="32A66535"/>
    <w:rsid w:val="32AD5DF2"/>
    <w:rsid w:val="32BA22F9"/>
    <w:rsid w:val="32C57EA0"/>
    <w:rsid w:val="32F97D87"/>
    <w:rsid w:val="33070513"/>
    <w:rsid w:val="33135C88"/>
    <w:rsid w:val="332527C9"/>
    <w:rsid w:val="334576D1"/>
    <w:rsid w:val="33465360"/>
    <w:rsid w:val="338A7C9C"/>
    <w:rsid w:val="33B650F0"/>
    <w:rsid w:val="33CC4E8A"/>
    <w:rsid w:val="33FF67A5"/>
    <w:rsid w:val="340A3F7B"/>
    <w:rsid w:val="341B7BED"/>
    <w:rsid w:val="34483224"/>
    <w:rsid w:val="345B3C59"/>
    <w:rsid w:val="345F3BB1"/>
    <w:rsid w:val="348F5747"/>
    <w:rsid w:val="3492284C"/>
    <w:rsid w:val="34AE5ED9"/>
    <w:rsid w:val="34B764DB"/>
    <w:rsid w:val="34BD6D7E"/>
    <w:rsid w:val="34C37EDD"/>
    <w:rsid w:val="34E16745"/>
    <w:rsid w:val="34E17AE5"/>
    <w:rsid w:val="35076FA0"/>
    <w:rsid w:val="355B0A1D"/>
    <w:rsid w:val="357068E8"/>
    <w:rsid w:val="35817F56"/>
    <w:rsid w:val="359A3768"/>
    <w:rsid w:val="35A5476A"/>
    <w:rsid w:val="35B41228"/>
    <w:rsid w:val="35C93BEC"/>
    <w:rsid w:val="35EC34FC"/>
    <w:rsid w:val="35EF605A"/>
    <w:rsid w:val="3628292A"/>
    <w:rsid w:val="362A7A9C"/>
    <w:rsid w:val="36325066"/>
    <w:rsid w:val="363B2C06"/>
    <w:rsid w:val="365B3BC6"/>
    <w:rsid w:val="36616E97"/>
    <w:rsid w:val="368D284B"/>
    <w:rsid w:val="36B66C52"/>
    <w:rsid w:val="36BC4EE6"/>
    <w:rsid w:val="36CF6A23"/>
    <w:rsid w:val="36F97663"/>
    <w:rsid w:val="371C259D"/>
    <w:rsid w:val="37827099"/>
    <w:rsid w:val="37A704D7"/>
    <w:rsid w:val="37AE480D"/>
    <w:rsid w:val="37B059E1"/>
    <w:rsid w:val="37B77CF4"/>
    <w:rsid w:val="37C0261A"/>
    <w:rsid w:val="37CC3488"/>
    <w:rsid w:val="37DC1FE5"/>
    <w:rsid w:val="37DF7076"/>
    <w:rsid w:val="37F4158E"/>
    <w:rsid w:val="380C6740"/>
    <w:rsid w:val="38305D20"/>
    <w:rsid w:val="38357E06"/>
    <w:rsid w:val="386714A6"/>
    <w:rsid w:val="387B7D47"/>
    <w:rsid w:val="387C093B"/>
    <w:rsid w:val="388B58B0"/>
    <w:rsid w:val="38DE61C5"/>
    <w:rsid w:val="38E33E48"/>
    <w:rsid w:val="38F8190D"/>
    <w:rsid w:val="3914277D"/>
    <w:rsid w:val="391D2735"/>
    <w:rsid w:val="391D56CD"/>
    <w:rsid w:val="392142DB"/>
    <w:rsid w:val="392F225F"/>
    <w:rsid w:val="392F5336"/>
    <w:rsid w:val="3974781B"/>
    <w:rsid w:val="39750A85"/>
    <w:rsid w:val="398551C7"/>
    <w:rsid w:val="39963FCB"/>
    <w:rsid w:val="39B17F7D"/>
    <w:rsid w:val="39D16A4D"/>
    <w:rsid w:val="39FA50CD"/>
    <w:rsid w:val="3A0062DE"/>
    <w:rsid w:val="3A2E1A32"/>
    <w:rsid w:val="3A3E781C"/>
    <w:rsid w:val="3A527047"/>
    <w:rsid w:val="3A792E92"/>
    <w:rsid w:val="3A8B5A36"/>
    <w:rsid w:val="3AB26EEC"/>
    <w:rsid w:val="3AC75223"/>
    <w:rsid w:val="3ACC0D26"/>
    <w:rsid w:val="3AE10342"/>
    <w:rsid w:val="3B0112B9"/>
    <w:rsid w:val="3B091ED1"/>
    <w:rsid w:val="3B3467FD"/>
    <w:rsid w:val="3B8238F9"/>
    <w:rsid w:val="3B936FB6"/>
    <w:rsid w:val="3BA64F9D"/>
    <w:rsid w:val="3BB52E89"/>
    <w:rsid w:val="3BC63A7A"/>
    <w:rsid w:val="3BF475D7"/>
    <w:rsid w:val="3BF641E8"/>
    <w:rsid w:val="3C0A22B9"/>
    <w:rsid w:val="3C0C25F8"/>
    <w:rsid w:val="3C1A41CD"/>
    <w:rsid w:val="3C20052E"/>
    <w:rsid w:val="3C3F3C1D"/>
    <w:rsid w:val="3C4B7C42"/>
    <w:rsid w:val="3C5814DC"/>
    <w:rsid w:val="3C5A0570"/>
    <w:rsid w:val="3CC4316B"/>
    <w:rsid w:val="3D2D14DC"/>
    <w:rsid w:val="3D554D9E"/>
    <w:rsid w:val="3D5A631C"/>
    <w:rsid w:val="3D5D227D"/>
    <w:rsid w:val="3D9D3318"/>
    <w:rsid w:val="3DA86DB8"/>
    <w:rsid w:val="3DAF4294"/>
    <w:rsid w:val="3DBC533A"/>
    <w:rsid w:val="3DC5463D"/>
    <w:rsid w:val="3E672C08"/>
    <w:rsid w:val="3E857F64"/>
    <w:rsid w:val="3E9614DB"/>
    <w:rsid w:val="3EA41AE9"/>
    <w:rsid w:val="3EB04EB6"/>
    <w:rsid w:val="3EC000EA"/>
    <w:rsid w:val="3ECA57BD"/>
    <w:rsid w:val="3EDF54B0"/>
    <w:rsid w:val="3EEF363A"/>
    <w:rsid w:val="3F092972"/>
    <w:rsid w:val="3F0D07F0"/>
    <w:rsid w:val="3F0F7AB6"/>
    <w:rsid w:val="3F4308CE"/>
    <w:rsid w:val="3F630FCD"/>
    <w:rsid w:val="3F7F04AF"/>
    <w:rsid w:val="3F814CE0"/>
    <w:rsid w:val="3F8E7F7A"/>
    <w:rsid w:val="3F945AB7"/>
    <w:rsid w:val="3FC24AC1"/>
    <w:rsid w:val="40083A1B"/>
    <w:rsid w:val="40163481"/>
    <w:rsid w:val="401F01A1"/>
    <w:rsid w:val="402710CB"/>
    <w:rsid w:val="40443A4D"/>
    <w:rsid w:val="40943A55"/>
    <w:rsid w:val="40AF12DF"/>
    <w:rsid w:val="40EC5109"/>
    <w:rsid w:val="41075372"/>
    <w:rsid w:val="413B2369"/>
    <w:rsid w:val="41452CAF"/>
    <w:rsid w:val="4145599C"/>
    <w:rsid w:val="41587D5D"/>
    <w:rsid w:val="418F29FF"/>
    <w:rsid w:val="41CB2470"/>
    <w:rsid w:val="41E043E3"/>
    <w:rsid w:val="41E31A42"/>
    <w:rsid w:val="41FC5E76"/>
    <w:rsid w:val="421E4432"/>
    <w:rsid w:val="425706EB"/>
    <w:rsid w:val="425E3D85"/>
    <w:rsid w:val="427F1660"/>
    <w:rsid w:val="4284294A"/>
    <w:rsid w:val="42A6770F"/>
    <w:rsid w:val="42CA2936"/>
    <w:rsid w:val="42D412DE"/>
    <w:rsid w:val="42EA3A1C"/>
    <w:rsid w:val="43007E74"/>
    <w:rsid w:val="436F50E2"/>
    <w:rsid w:val="437B19F5"/>
    <w:rsid w:val="43A035C9"/>
    <w:rsid w:val="43D57581"/>
    <w:rsid w:val="43E26004"/>
    <w:rsid w:val="442E2E7F"/>
    <w:rsid w:val="44301E3B"/>
    <w:rsid w:val="44D85C9D"/>
    <w:rsid w:val="44FC4EA4"/>
    <w:rsid w:val="44FE1EBC"/>
    <w:rsid w:val="45263295"/>
    <w:rsid w:val="45295842"/>
    <w:rsid w:val="453E4C3B"/>
    <w:rsid w:val="454849B3"/>
    <w:rsid w:val="45967F1C"/>
    <w:rsid w:val="45B66A18"/>
    <w:rsid w:val="45C31F31"/>
    <w:rsid w:val="45C4374C"/>
    <w:rsid w:val="45D81ECE"/>
    <w:rsid w:val="45F3315B"/>
    <w:rsid w:val="45F64B96"/>
    <w:rsid w:val="460A22C0"/>
    <w:rsid w:val="46631869"/>
    <w:rsid w:val="466F09D8"/>
    <w:rsid w:val="468A0E52"/>
    <w:rsid w:val="46A92AB5"/>
    <w:rsid w:val="46B538D0"/>
    <w:rsid w:val="46C475A6"/>
    <w:rsid w:val="46D350B3"/>
    <w:rsid w:val="46D44771"/>
    <w:rsid w:val="46EF68BB"/>
    <w:rsid w:val="470311E8"/>
    <w:rsid w:val="472130F7"/>
    <w:rsid w:val="473E7B06"/>
    <w:rsid w:val="47516A7B"/>
    <w:rsid w:val="47550CDA"/>
    <w:rsid w:val="475541AC"/>
    <w:rsid w:val="47656477"/>
    <w:rsid w:val="479137F8"/>
    <w:rsid w:val="47B91BA2"/>
    <w:rsid w:val="47BB21E2"/>
    <w:rsid w:val="47CC4058"/>
    <w:rsid w:val="47F21C06"/>
    <w:rsid w:val="47F530DE"/>
    <w:rsid w:val="47FD35E4"/>
    <w:rsid w:val="48583F77"/>
    <w:rsid w:val="485B77DC"/>
    <w:rsid w:val="48BB669E"/>
    <w:rsid w:val="48DF3929"/>
    <w:rsid w:val="48EF239D"/>
    <w:rsid w:val="490D6346"/>
    <w:rsid w:val="49122C00"/>
    <w:rsid w:val="4948060B"/>
    <w:rsid w:val="494A7D10"/>
    <w:rsid w:val="496C6B35"/>
    <w:rsid w:val="49B56977"/>
    <w:rsid w:val="49C6694D"/>
    <w:rsid w:val="4A256B30"/>
    <w:rsid w:val="4A347A9C"/>
    <w:rsid w:val="4A546181"/>
    <w:rsid w:val="4A5C1B35"/>
    <w:rsid w:val="4A5D0753"/>
    <w:rsid w:val="4A5D14F5"/>
    <w:rsid w:val="4ABA7BA3"/>
    <w:rsid w:val="4ADA1740"/>
    <w:rsid w:val="4AF806D5"/>
    <w:rsid w:val="4BA12668"/>
    <w:rsid w:val="4BA31B12"/>
    <w:rsid w:val="4BB9589C"/>
    <w:rsid w:val="4BBA35CB"/>
    <w:rsid w:val="4BC24AEF"/>
    <w:rsid w:val="4BCD0C45"/>
    <w:rsid w:val="4BD51378"/>
    <w:rsid w:val="4C2867DE"/>
    <w:rsid w:val="4C4026F1"/>
    <w:rsid w:val="4C5E14CF"/>
    <w:rsid w:val="4C8F3379"/>
    <w:rsid w:val="4C9E254C"/>
    <w:rsid w:val="4CA16CBF"/>
    <w:rsid w:val="4CA24038"/>
    <w:rsid w:val="4CD647C5"/>
    <w:rsid w:val="4CFB52E7"/>
    <w:rsid w:val="4D044AC0"/>
    <w:rsid w:val="4D046518"/>
    <w:rsid w:val="4D0E3E9A"/>
    <w:rsid w:val="4D2228FB"/>
    <w:rsid w:val="4D2343FE"/>
    <w:rsid w:val="4D432D53"/>
    <w:rsid w:val="4D5B4D94"/>
    <w:rsid w:val="4D6966CD"/>
    <w:rsid w:val="4D6C59EB"/>
    <w:rsid w:val="4D6D3A44"/>
    <w:rsid w:val="4D777C67"/>
    <w:rsid w:val="4D8D199A"/>
    <w:rsid w:val="4DC35961"/>
    <w:rsid w:val="4DDE45E6"/>
    <w:rsid w:val="4DE07C59"/>
    <w:rsid w:val="4E0A135E"/>
    <w:rsid w:val="4E37495B"/>
    <w:rsid w:val="4E452C84"/>
    <w:rsid w:val="4E4C7E50"/>
    <w:rsid w:val="4E5D29A3"/>
    <w:rsid w:val="4E6274FB"/>
    <w:rsid w:val="4E6F6F5A"/>
    <w:rsid w:val="4F091F14"/>
    <w:rsid w:val="4F0948C8"/>
    <w:rsid w:val="4F813751"/>
    <w:rsid w:val="4FA9305D"/>
    <w:rsid w:val="4FB7062C"/>
    <w:rsid w:val="4FD85E1F"/>
    <w:rsid w:val="4FDE458C"/>
    <w:rsid w:val="50020EF5"/>
    <w:rsid w:val="5036722B"/>
    <w:rsid w:val="504176B5"/>
    <w:rsid w:val="505960E1"/>
    <w:rsid w:val="507F08E8"/>
    <w:rsid w:val="50854CBB"/>
    <w:rsid w:val="509E74F1"/>
    <w:rsid w:val="50CB38A6"/>
    <w:rsid w:val="50FF61CD"/>
    <w:rsid w:val="510734B3"/>
    <w:rsid w:val="5117284C"/>
    <w:rsid w:val="512D7E94"/>
    <w:rsid w:val="514245BE"/>
    <w:rsid w:val="517866B2"/>
    <w:rsid w:val="51B250A4"/>
    <w:rsid w:val="51B904EC"/>
    <w:rsid w:val="51D053A8"/>
    <w:rsid w:val="52093425"/>
    <w:rsid w:val="520E3DD0"/>
    <w:rsid w:val="522053F8"/>
    <w:rsid w:val="52455AAA"/>
    <w:rsid w:val="526C4FE1"/>
    <w:rsid w:val="526E0E92"/>
    <w:rsid w:val="52706BA5"/>
    <w:rsid w:val="52BC343B"/>
    <w:rsid w:val="52C93F61"/>
    <w:rsid w:val="52E40F2A"/>
    <w:rsid w:val="52E9033F"/>
    <w:rsid w:val="52EC626A"/>
    <w:rsid w:val="52F76DF7"/>
    <w:rsid w:val="52F84AA4"/>
    <w:rsid w:val="52F92923"/>
    <w:rsid w:val="53280B79"/>
    <w:rsid w:val="53286F56"/>
    <w:rsid w:val="53311AD2"/>
    <w:rsid w:val="53514405"/>
    <w:rsid w:val="53997F39"/>
    <w:rsid w:val="539A768F"/>
    <w:rsid w:val="53A46497"/>
    <w:rsid w:val="53D971CA"/>
    <w:rsid w:val="53ED274B"/>
    <w:rsid w:val="54100927"/>
    <w:rsid w:val="54112AD4"/>
    <w:rsid w:val="542C5141"/>
    <w:rsid w:val="543876EF"/>
    <w:rsid w:val="545662D6"/>
    <w:rsid w:val="54664B37"/>
    <w:rsid w:val="546F3C76"/>
    <w:rsid w:val="54724E93"/>
    <w:rsid w:val="54771F2F"/>
    <w:rsid w:val="54AF709D"/>
    <w:rsid w:val="54ED6E78"/>
    <w:rsid w:val="54F9168C"/>
    <w:rsid w:val="55061C72"/>
    <w:rsid w:val="55142979"/>
    <w:rsid w:val="55414628"/>
    <w:rsid w:val="55D75AC3"/>
    <w:rsid w:val="55E747B5"/>
    <w:rsid w:val="55EA3666"/>
    <w:rsid w:val="55FE4750"/>
    <w:rsid w:val="56116789"/>
    <w:rsid w:val="562158D2"/>
    <w:rsid w:val="5659092D"/>
    <w:rsid w:val="566B241C"/>
    <w:rsid w:val="566D1AF3"/>
    <w:rsid w:val="568B05A0"/>
    <w:rsid w:val="568C2E1D"/>
    <w:rsid w:val="56995781"/>
    <w:rsid w:val="56C67D35"/>
    <w:rsid w:val="56CF59E0"/>
    <w:rsid w:val="570C57E5"/>
    <w:rsid w:val="573920A1"/>
    <w:rsid w:val="57410705"/>
    <w:rsid w:val="578555D6"/>
    <w:rsid w:val="579B49E6"/>
    <w:rsid w:val="57A81115"/>
    <w:rsid w:val="57C64A56"/>
    <w:rsid w:val="57C83573"/>
    <w:rsid w:val="57DC45F2"/>
    <w:rsid w:val="58180BAC"/>
    <w:rsid w:val="581A4F97"/>
    <w:rsid w:val="58975875"/>
    <w:rsid w:val="58C206EA"/>
    <w:rsid w:val="58DD14BA"/>
    <w:rsid w:val="58DE379B"/>
    <w:rsid w:val="58E46A2D"/>
    <w:rsid w:val="591C344B"/>
    <w:rsid w:val="592F51AC"/>
    <w:rsid w:val="59380689"/>
    <w:rsid w:val="594840D2"/>
    <w:rsid w:val="59592104"/>
    <w:rsid w:val="597169FF"/>
    <w:rsid w:val="59810AED"/>
    <w:rsid w:val="59885C6C"/>
    <w:rsid w:val="59906800"/>
    <w:rsid w:val="59C0610C"/>
    <w:rsid w:val="59D659F4"/>
    <w:rsid w:val="59EF4030"/>
    <w:rsid w:val="5A021C43"/>
    <w:rsid w:val="5A0D5404"/>
    <w:rsid w:val="5A140846"/>
    <w:rsid w:val="5A184274"/>
    <w:rsid w:val="5A5340CC"/>
    <w:rsid w:val="5A5F27C5"/>
    <w:rsid w:val="5A6C65B4"/>
    <w:rsid w:val="5A6D0665"/>
    <w:rsid w:val="5A944982"/>
    <w:rsid w:val="5A957463"/>
    <w:rsid w:val="5AA0660A"/>
    <w:rsid w:val="5AA259C7"/>
    <w:rsid w:val="5ABC7A34"/>
    <w:rsid w:val="5AE44FEF"/>
    <w:rsid w:val="5AFF2BCF"/>
    <w:rsid w:val="5B2C5A0E"/>
    <w:rsid w:val="5B2E0B1E"/>
    <w:rsid w:val="5B353FF7"/>
    <w:rsid w:val="5B9C69D5"/>
    <w:rsid w:val="5BB809C1"/>
    <w:rsid w:val="5BC1753B"/>
    <w:rsid w:val="5BDE5E72"/>
    <w:rsid w:val="5BF93A72"/>
    <w:rsid w:val="5C4B4617"/>
    <w:rsid w:val="5C6249F7"/>
    <w:rsid w:val="5C662F5F"/>
    <w:rsid w:val="5C6E7D2F"/>
    <w:rsid w:val="5C912B17"/>
    <w:rsid w:val="5C97508B"/>
    <w:rsid w:val="5CA213CC"/>
    <w:rsid w:val="5CAB7B07"/>
    <w:rsid w:val="5CB0021D"/>
    <w:rsid w:val="5CCA5E3C"/>
    <w:rsid w:val="5CD31F62"/>
    <w:rsid w:val="5CD504B3"/>
    <w:rsid w:val="5D271933"/>
    <w:rsid w:val="5D583F20"/>
    <w:rsid w:val="5D737AF2"/>
    <w:rsid w:val="5D8D149A"/>
    <w:rsid w:val="5E033D13"/>
    <w:rsid w:val="5E1473D2"/>
    <w:rsid w:val="5E2F5F65"/>
    <w:rsid w:val="5E362FEF"/>
    <w:rsid w:val="5E7A6D6C"/>
    <w:rsid w:val="5EB376AE"/>
    <w:rsid w:val="5EEC7BFA"/>
    <w:rsid w:val="5EF914F7"/>
    <w:rsid w:val="5F070816"/>
    <w:rsid w:val="5F184F69"/>
    <w:rsid w:val="5F193788"/>
    <w:rsid w:val="5F2A4A9B"/>
    <w:rsid w:val="5F45081F"/>
    <w:rsid w:val="5F494E7F"/>
    <w:rsid w:val="5F8F2246"/>
    <w:rsid w:val="5F931F71"/>
    <w:rsid w:val="5FAB62F0"/>
    <w:rsid w:val="5FD62CD5"/>
    <w:rsid w:val="5FED51F8"/>
    <w:rsid w:val="5FF02182"/>
    <w:rsid w:val="60623C5A"/>
    <w:rsid w:val="60876A3B"/>
    <w:rsid w:val="609F5EFB"/>
    <w:rsid w:val="60B15B53"/>
    <w:rsid w:val="610D264B"/>
    <w:rsid w:val="61252317"/>
    <w:rsid w:val="615332C4"/>
    <w:rsid w:val="615474BD"/>
    <w:rsid w:val="619C61A3"/>
    <w:rsid w:val="61C42849"/>
    <w:rsid w:val="61D4100B"/>
    <w:rsid w:val="61F95BA7"/>
    <w:rsid w:val="620C1BB1"/>
    <w:rsid w:val="622B5312"/>
    <w:rsid w:val="6244796B"/>
    <w:rsid w:val="624A4975"/>
    <w:rsid w:val="62505A76"/>
    <w:rsid w:val="625645F0"/>
    <w:rsid w:val="625E22E5"/>
    <w:rsid w:val="62704B99"/>
    <w:rsid w:val="629466B5"/>
    <w:rsid w:val="62A35929"/>
    <w:rsid w:val="62C01EBD"/>
    <w:rsid w:val="62C51DF7"/>
    <w:rsid w:val="62DA233A"/>
    <w:rsid w:val="62DB232B"/>
    <w:rsid w:val="62F2786F"/>
    <w:rsid w:val="635D7878"/>
    <w:rsid w:val="6366771F"/>
    <w:rsid w:val="638D3CCD"/>
    <w:rsid w:val="63B9183B"/>
    <w:rsid w:val="63E86794"/>
    <w:rsid w:val="64161291"/>
    <w:rsid w:val="64204D3A"/>
    <w:rsid w:val="64475207"/>
    <w:rsid w:val="645C5F03"/>
    <w:rsid w:val="64665353"/>
    <w:rsid w:val="64743927"/>
    <w:rsid w:val="648811A6"/>
    <w:rsid w:val="64D06A74"/>
    <w:rsid w:val="64D544A6"/>
    <w:rsid w:val="64EB1146"/>
    <w:rsid w:val="652E7EE0"/>
    <w:rsid w:val="653072E3"/>
    <w:rsid w:val="6543772C"/>
    <w:rsid w:val="65550345"/>
    <w:rsid w:val="655D44FD"/>
    <w:rsid w:val="657C6F6B"/>
    <w:rsid w:val="65D11691"/>
    <w:rsid w:val="65E211D3"/>
    <w:rsid w:val="66286747"/>
    <w:rsid w:val="662C5031"/>
    <w:rsid w:val="66410D53"/>
    <w:rsid w:val="66540CA0"/>
    <w:rsid w:val="666F0E26"/>
    <w:rsid w:val="66943ECC"/>
    <w:rsid w:val="66970908"/>
    <w:rsid w:val="669B071B"/>
    <w:rsid w:val="66A42546"/>
    <w:rsid w:val="671831F1"/>
    <w:rsid w:val="677217B0"/>
    <w:rsid w:val="67A11D2A"/>
    <w:rsid w:val="67F404A2"/>
    <w:rsid w:val="68511D1D"/>
    <w:rsid w:val="686B2AE3"/>
    <w:rsid w:val="68747066"/>
    <w:rsid w:val="689A3D74"/>
    <w:rsid w:val="69011E17"/>
    <w:rsid w:val="69257710"/>
    <w:rsid w:val="69267774"/>
    <w:rsid w:val="6946731A"/>
    <w:rsid w:val="695776A3"/>
    <w:rsid w:val="69725403"/>
    <w:rsid w:val="69A51BE1"/>
    <w:rsid w:val="69A75C75"/>
    <w:rsid w:val="69B72D24"/>
    <w:rsid w:val="69E270EF"/>
    <w:rsid w:val="69F7628A"/>
    <w:rsid w:val="6A421FE1"/>
    <w:rsid w:val="6A5D3C86"/>
    <w:rsid w:val="6A7A76E3"/>
    <w:rsid w:val="6A9B1D59"/>
    <w:rsid w:val="6AB8775E"/>
    <w:rsid w:val="6AC26541"/>
    <w:rsid w:val="6AE43D56"/>
    <w:rsid w:val="6B2B095A"/>
    <w:rsid w:val="6B5768C6"/>
    <w:rsid w:val="6B8665F0"/>
    <w:rsid w:val="6B9F228A"/>
    <w:rsid w:val="6BC069ED"/>
    <w:rsid w:val="6C00524C"/>
    <w:rsid w:val="6C5D018A"/>
    <w:rsid w:val="6C716391"/>
    <w:rsid w:val="6C7A2EAE"/>
    <w:rsid w:val="6C81008F"/>
    <w:rsid w:val="6CAB72D4"/>
    <w:rsid w:val="6CD3411E"/>
    <w:rsid w:val="6D135B2D"/>
    <w:rsid w:val="6D180C6D"/>
    <w:rsid w:val="6D1B4472"/>
    <w:rsid w:val="6D1E26B4"/>
    <w:rsid w:val="6D3E6016"/>
    <w:rsid w:val="6D4E7707"/>
    <w:rsid w:val="6D7A3688"/>
    <w:rsid w:val="6D852DA7"/>
    <w:rsid w:val="6D9112B5"/>
    <w:rsid w:val="6DA20CDB"/>
    <w:rsid w:val="6DB44F2C"/>
    <w:rsid w:val="6DEE0308"/>
    <w:rsid w:val="6DEE213B"/>
    <w:rsid w:val="6DF91750"/>
    <w:rsid w:val="6E006408"/>
    <w:rsid w:val="6E29286B"/>
    <w:rsid w:val="6E346101"/>
    <w:rsid w:val="6E634193"/>
    <w:rsid w:val="6E7D7667"/>
    <w:rsid w:val="6E8E3FB5"/>
    <w:rsid w:val="6E911358"/>
    <w:rsid w:val="6E9472B9"/>
    <w:rsid w:val="6EAA20F9"/>
    <w:rsid w:val="6EB52C14"/>
    <w:rsid w:val="6EC01EC8"/>
    <w:rsid w:val="6EDD6C00"/>
    <w:rsid w:val="6F1F33D0"/>
    <w:rsid w:val="6F203F41"/>
    <w:rsid w:val="6F2B7879"/>
    <w:rsid w:val="6F45367B"/>
    <w:rsid w:val="6F4A5403"/>
    <w:rsid w:val="6F4F38FB"/>
    <w:rsid w:val="6F6B1D87"/>
    <w:rsid w:val="6F7C53B6"/>
    <w:rsid w:val="6F967CC4"/>
    <w:rsid w:val="6FA02886"/>
    <w:rsid w:val="6FA16E8B"/>
    <w:rsid w:val="6FB83B23"/>
    <w:rsid w:val="6FDE544F"/>
    <w:rsid w:val="702A1D28"/>
    <w:rsid w:val="702E3D4D"/>
    <w:rsid w:val="7049707F"/>
    <w:rsid w:val="706F4618"/>
    <w:rsid w:val="708236C2"/>
    <w:rsid w:val="70A13B1D"/>
    <w:rsid w:val="70B65178"/>
    <w:rsid w:val="70C41BAB"/>
    <w:rsid w:val="70E263AF"/>
    <w:rsid w:val="70EC56B4"/>
    <w:rsid w:val="70F5433C"/>
    <w:rsid w:val="712A33F2"/>
    <w:rsid w:val="71433B9B"/>
    <w:rsid w:val="7152792E"/>
    <w:rsid w:val="716A17C5"/>
    <w:rsid w:val="716C4AE1"/>
    <w:rsid w:val="71AF0B95"/>
    <w:rsid w:val="71EC0550"/>
    <w:rsid w:val="71FA4880"/>
    <w:rsid w:val="72025FA4"/>
    <w:rsid w:val="722D4521"/>
    <w:rsid w:val="72567B6E"/>
    <w:rsid w:val="727E276B"/>
    <w:rsid w:val="727F7619"/>
    <w:rsid w:val="728368D5"/>
    <w:rsid w:val="72903731"/>
    <w:rsid w:val="72C56777"/>
    <w:rsid w:val="72CC7C60"/>
    <w:rsid w:val="72E74A3B"/>
    <w:rsid w:val="72FB2A61"/>
    <w:rsid w:val="730137BD"/>
    <w:rsid w:val="732817C9"/>
    <w:rsid w:val="7329453A"/>
    <w:rsid w:val="73392D79"/>
    <w:rsid w:val="734E4B00"/>
    <w:rsid w:val="7354183B"/>
    <w:rsid w:val="737357C9"/>
    <w:rsid w:val="73782219"/>
    <w:rsid w:val="73A869D5"/>
    <w:rsid w:val="740548C1"/>
    <w:rsid w:val="7413412A"/>
    <w:rsid w:val="74313CC7"/>
    <w:rsid w:val="74314CAA"/>
    <w:rsid w:val="74600AC7"/>
    <w:rsid w:val="74620FDC"/>
    <w:rsid w:val="74656F25"/>
    <w:rsid w:val="74CC7837"/>
    <w:rsid w:val="74DD4732"/>
    <w:rsid w:val="74E14D68"/>
    <w:rsid w:val="75123F08"/>
    <w:rsid w:val="752C4DF9"/>
    <w:rsid w:val="753A273C"/>
    <w:rsid w:val="7555352D"/>
    <w:rsid w:val="75587864"/>
    <w:rsid w:val="75590311"/>
    <w:rsid w:val="755C39D5"/>
    <w:rsid w:val="75927FDB"/>
    <w:rsid w:val="7593151F"/>
    <w:rsid w:val="75BF7F65"/>
    <w:rsid w:val="761270A9"/>
    <w:rsid w:val="76157426"/>
    <w:rsid w:val="761E35CF"/>
    <w:rsid w:val="76303C1E"/>
    <w:rsid w:val="763956C2"/>
    <w:rsid w:val="7648355F"/>
    <w:rsid w:val="7653332A"/>
    <w:rsid w:val="76705ABB"/>
    <w:rsid w:val="7673370C"/>
    <w:rsid w:val="76770BA6"/>
    <w:rsid w:val="768A63BC"/>
    <w:rsid w:val="76941CD0"/>
    <w:rsid w:val="769C31C2"/>
    <w:rsid w:val="76B4125F"/>
    <w:rsid w:val="76E23F25"/>
    <w:rsid w:val="76E95EC7"/>
    <w:rsid w:val="76F054AE"/>
    <w:rsid w:val="76FE2B6D"/>
    <w:rsid w:val="770E557C"/>
    <w:rsid w:val="77132F9F"/>
    <w:rsid w:val="77600AAB"/>
    <w:rsid w:val="776315E5"/>
    <w:rsid w:val="776411CE"/>
    <w:rsid w:val="776463D7"/>
    <w:rsid w:val="777C2A56"/>
    <w:rsid w:val="77DC02BD"/>
    <w:rsid w:val="77F35EFF"/>
    <w:rsid w:val="7806490B"/>
    <w:rsid w:val="78AE54FC"/>
    <w:rsid w:val="78BF27D3"/>
    <w:rsid w:val="78FC06AE"/>
    <w:rsid w:val="78FC7D43"/>
    <w:rsid w:val="79152B8B"/>
    <w:rsid w:val="791A3753"/>
    <w:rsid w:val="791E190E"/>
    <w:rsid w:val="79435C50"/>
    <w:rsid w:val="796003F6"/>
    <w:rsid w:val="797B2BA5"/>
    <w:rsid w:val="79891BD2"/>
    <w:rsid w:val="799B45DB"/>
    <w:rsid w:val="79A6596B"/>
    <w:rsid w:val="79B53B05"/>
    <w:rsid w:val="79C04FAA"/>
    <w:rsid w:val="79C32EF8"/>
    <w:rsid w:val="79CA57C6"/>
    <w:rsid w:val="7A014895"/>
    <w:rsid w:val="7A1D5E0E"/>
    <w:rsid w:val="7A421C0A"/>
    <w:rsid w:val="7A553597"/>
    <w:rsid w:val="7A9B7D9D"/>
    <w:rsid w:val="7AB21A0D"/>
    <w:rsid w:val="7AB26175"/>
    <w:rsid w:val="7ABF7223"/>
    <w:rsid w:val="7AC3115D"/>
    <w:rsid w:val="7B0D3397"/>
    <w:rsid w:val="7B346939"/>
    <w:rsid w:val="7B3E38AB"/>
    <w:rsid w:val="7B457EEF"/>
    <w:rsid w:val="7B6E5EBF"/>
    <w:rsid w:val="7BA56E75"/>
    <w:rsid w:val="7BB12C6A"/>
    <w:rsid w:val="7BC237D2"/>
    <w:rsid w:val="7BD345DB"/>
    <w:rsid w:val="7BE24499"/>
    <w:rsid w:val="7C0F5709"/>
    <w:rsid w:val="7C432FE2"/>
    <w:rsid w:val="7C5039EF"/>
    <w:rsid w:val="7CEC7E27"/>
    <w:rsid w:val="7D027A32"/>
    <w:rsid w:val="7D084D83"/>
    <w:rsid w:val="7D165DF7"/>
    <w:rsid w:val="7D3B5988"/>
    <w:rsid w:val="7D676C5D"/>
    <w:rsid w:val="7D6E4249"/>
    <w:rsid w:val="7D710135"/>
    <w:rsid w:val="7D942D2F"/>
    <w:rsid w:val="7DCE222F"/>
    <w:rsid w:val="7DE4060E"/>
    <w:rsid w:val="7DEB51DA"/>
    <w:rsid w:val="7DF96123"/>
    <w:rsid w:val="7E0727F2"/>
    <w:rsid w:val="7E2A2713"/>
    <w:rsid w:val="7E376A3D"/>
    <w:rsid w:val="7E565833"/>
    <w:rsid w:val="7E607204"/>
    <w:rsid w:val="7E62569F"/>
    <w:rsid w:val="7E756CA4"/>
    <w:rsid w:val="7E8A09C7"/>
    <w:rsid w:val="7E9B74BD"/>
    <w:rsid w:val="7EB72410"/>
    <w:rsid w:val="7EBF09D8"/>
    <w:rsid w:val="7ED55354"/>
    <w:rsid w:val="7ED87B23"/>
    <w:rsid w:val="7F0E6976"/>
    <w:rsid w:val="7F0F17E4"/>
    <w:rsid w:val="7F1F4C6A"/>
    <w:rsid w:val="7F2124F3"/>
    <w:rsid w:val="7F2D7EB9"/>
    <w:rsid w:val="7F737AAC"/>
    <w:rsid w:val="7F9721F5"/>
    <w:rsid w:val="7FA4756C"/>
    <w:rsid w:val="7FC0769A"/>
    <w:rsid w:val="7FC2522B"/>
    <w:rsid w:val="7FC5522C"/>
    <w:rsid w:val="7FD61919"/>
    <w:rsid w:val="7FF16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99" w:semiHidden="0"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qFormat="1" w:unhideWhenUsed="0" w:uiPriority="0" w:semiHidden="0"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left="360"/>
    </w:pPr>
    <w:rPr>
      <w:rFonts w:ascii="宋体" w:hAnsi="宋体" w:eastAsia="宋体" w:cs="Times New Roman"/>
      <w:sz w:val="24"/>
      <w:szCs w:val="24"/>
      <w:lang w:val="en-US" w:eastAsia="zh-CN" w:bidi="ar-SA"/>
    </w:rPr>
  </w:style>
  <w:style w:type="paragraph" w:styleId="3">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widowControl/>
      <w:numPr>
        <w:ilvl w:val="1"/>
        <w:numId w:val="1"/>
      </w:numPr>
      <w:spacing w:before="260" w:after="260" w:line="416" w:lineRule="auto"/>
      <w:outlineLvl w:val="1"/>
    </w:pPr>
    <w:rPr>
      <w:rFonts w:ascii="Arial" w:hAnsi="Arial" w:eastAsia="黑体"/>
      <w:b/>
      <w:sz w:val="32"/>
      <w:szCs w:val="20"/>
    </w:rPr>
  </w:style>
  <w:style w:type="paragraph" w:styleId="5">
    <w:name w:val="heading 3"/>
    <w:basedOn w:val="1"/>
    <w:next w:val="1"/>
    <w:unhideWhenUsed/>
    <w:qFormat/>
    <w:uiPriority w:val="9"/>
    <w:pPr>
      <w:keepNext/>
      <w:keepLines/>
      <w:spacing w:line="560" w:lineRule="exact"/>
      <w:ind w:firstLine="640" w:firstLineChars="200"/>
      <w:outlineLvl w:val="2"/>
    </w:pPr>
    <w:rPr>
      <w:rFonts w:ascii="Calibri" w:hAnsi="Calibri" w:eastAsia="楷体"/>
      <w:sz w:val="30"/>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方正仿宋简体" w:hAnsi="方正仿宋简体" w:eastAsia="方正仿宋简体" w:cs="Times New Roman"/>
      <w:color w:val="000000"/>
      <w:sz w:val="24"/>
      <w:szCs w:val="22"/>
      <w:lang w:val="en-US" w:eastAsia="zh-CN" w:bidi="ar-SA"/>
    </w:rPr>
  </w:style>
  <w:style w:type="paragraph" w:styleId="6">
    <w:name w:val="index 5"/>
    <w:basedOn w:val="1"/>
    <w:next w:val="1"/>
    <w:qFormat/>
    <w:uiPriority w:val="99"/>
    <w:pPr>
      <w:ind w:left="1680"/>
    </w:pPr>
  </w:style>
  <w:style w:type="paragraph" w:styleId="7">
    <w:name w:val="annotation text"/>
    <w:basedOn w:val="1"/>
    <w:link w:val="69"/>
    <w:semiHidden/>
    <w:unhideWhenUsed/>
    <w:qFormat/>
    <w:uiPriority w:val="99"/>
  </w:style>
  <w:style w:type="paragraph" w:styleId="8">
    <w:name w:val="Body Text"/>
    <w:basedOn w:val="1"/>
    <w:link w:val="33"/>
    <w:qFormat/>
    <w:uiPriority w:val="0"/>
    <w:pPr>
      <w:spacing w:beforeLines="50" w:afterLines="50"/>
    </w:pPr>
    <w:rPr>
      <w:b/>
      <w:bCs/>
      <w:sz w:val="36"/>
    </w:rPr>
  </w:style>
  <w:style w:type="paragraph" w:styleId="9">
    <w:name w:val="Body Text Indent"/>
    <w:basedOn w:val="1"/>
    <w:link w:val="35"/>
    <w:semiHidden/>
    <w:unhideWhenUsed/>
    <w:qFormat/>
    <w:uiPriority w:val="99"/>
    <w:pPr>
      <w:spacing w:after="120"/>
      <w:ind w:left="420" w:leftChars="200"/>
    </w:pPr>
  </w:style>
  <w:style w:type="paragraph" w:styleId="10">
    <w:name w:val="toc 3"/>
    <w:basedOn w:val="1"/>
    <w:next w:val="1"/>
    <w:semiHidden/>
    <w:unhideWhenUsed/>
    <w:qFormat/>
    <w:uiPriority w:val="39"/>
    <w:pPr>
      <w:widowControl/>
      <w:spacing w:after="100" w:line="276" w:lineRule="auto"/>
      <w:ind w:left="440"/>
    </w:pPr>
    <w:rPr>
      <w:rFonts w:ascii="Calibri" w:hAnsi="Calibri"/>
      <w:sz w:val="22"/>
      <w:szCs w:val="22"/>
    </w:rPr>
  </w:style>
  <w:style w:type="paragraph" w:styleId="11">
    <w:name w:val="Date"/>
    <w:basedOn w:val="1"/>
    <w:next w:val="1"/>
    <w:link w:val="36"/>
    <w:semiHidden/>
    <w:unhideWhenUsed/>
    <w:qFormat/>
    <w:uiPriority w:val="99"/>
    <w:pPr>
      <w:ind w:left="100" w:leftChars="2500"/>
    </w:pPr>
  </w:style>
  <w:style w:type="paragraph" w:styleId="12">
    <w:name w:val="Balloon Text"/>
    <w:basedOn w:val="1"/>
    <w:link w:val="37"/>
    <w:semiHidden/>
    <w:qFormat/>
    <w:uiPriority w:val="0"/>
    <w:rPr>
      <w:sz w:val="18"/>
      <w:szCs w:val="18"/>
    </w:rPr>
  </w:style>
  <w:style w:type="paragraph" w:styleId="13">
    <w:name w:val="footer"/>
    <w:basedOn w:val="1"/>
    <w:next w:val="6"/>
    <w:link w:val="32"/>
    <w:unhideWhenUsed/>
    <w:qFormat/>
    <w:uiPriority w:val="0"/>
    <w:pPr>
      <w:tabs>
        <w:tab w:val="center" w:pos="4153"/>
        <w:tab w:val="right" w:pos="8306"/>
      </w:tabs>
      <w:snapToGrid w:val="0"/>
    </w:pPr>
    <w:rPr>
      <w:sz w:val="18"/>
      <w:szCs w:val="18"/>
    </w:rPr>
  </w:style>
  <w:style w:type="paragraph" w:styleId="14">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pPr>
      <w:ind w:left="0"/>
    </w:pPr>
  </w:style>
  <w:style w:type="paragraph" w:styleId="16">
    <w:name w:val="Subtitle"/>
    <w:basedOn w:val="1"/>
    <w:next w:val="1"/>
    <w:link w:val="67"/>
    <w:qFormat/>
    <w:uiPriority w:val="11"/>
    <w:pPr>
      <w:spacing w:before="240" w:after="60" w:line="312" w:lineRule="auto"/>
      <w:jc w:val="center"/>
      <w:outlineLvl w:val="1"/>
    </w:pPr>
    <w:rPr>
      <w:rFonts w:ascii="Cambria" w:hAnsi="Cambria"/>
      <w:b/>
      <w:bCs/>
      <w:kern w:val="28"/>
      <w:sz w:val="32"/>
      <w:szCs w:val="32"/>
    </w:rPr>
  </w:style>
  <w:style w:type="paragraph" w:styleId="17">
    <w:name w:val="toc 2"/>
    <w:basedOn w:val="1"/>
    <w:next w:val="1"/>
    <w:unhideWhenUsed/>
    <w:qFormat/>
    <w:uiPriority w:val="39"/>
    <w:pPr>
      <w:widowControl/>
      <w:spacing w:after="100" w:line="276" w:lineRule="auto"/>
      <w:ind w:left="220"/>
    </w:pPr>
    <w:rPr>
      <w:rFonts w:ascii="Calibri" w:hAnsi="Calibri"/>
      <w:sz w:val="22"/>
      <w:szCs w:val="22"/>
    </w:rPr>
  </w:style>
  <w:style w:type="paragraph" w:styleId="18">
    <w:name w:val="Body Text 2"/>
    <w:basedOn w:val="1"/>
    <w:link w:val="34"/>
    <w:semiHidden/>
    <w:unhideWhenUsed/>
    <w:qFormat/>
    <w:uiPriority w:val="99"/>
    <w:pPr>
      <w:spacing w:after="120" w:line="480" w:lineRule="auto"/>
    </w:pPr>
  </w:style>
  <w:style w:type="paragraph" w:styleId="19">
    <w:name w:val="Normal (Web)"/>
    <w:basedOn w:val="1"/>
    <w:qFormat/>
    <w:uiPriority w:val="99"/>
    <w:pPr>
      <w:widowControl/>
      <w:spacing w:before="100" w:beforeAutospacing="1" w:after="100" w:afterAutospacing="1"/>
    </w:pPr>
    <w:rPr>
      <w:rFonts w:cs="宋体"/>
    </w:rPr>
  </w:style>
  <w:style w:type="paragraph" w:styleId="20">
    <w:name w:val="annotation subject"/>
    <w:basedOn w:val="7"/>
    <w:next w:val="7"/>
    <w:link w:val="70"/>
    <w:semiHidden/>
    <w:unhideWhenUsed/>
    <w:qFormat/>
    <w:uiPriority w:val="99"/>
    <w:rPr>
      <w:b/>
      <w:bCs/>
    </w:rPr>
  </w:style>
  <w:style w:type="table" w:styleId="22">
    <w:name w:val="Table Grid"/>
    <w:basedOn w:val="21"/>
    <w:qFormat/>
    <w:uiPriority w:val="0"/>
    <w:pPr>
      <w:widowControl w:val="0"/>
      <w:spacing w:line="360" w:lineRule="auto"/>
      <w:ind w:left="36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qFormat/>
    <w:uiPriority w:val="0"/>
    <w:rPr>
      <w:b/>
    </w:rPr>
  </w:style>
  <w:style w:type="character" w:styleId="25">
    <w:name w:val="page number"/>
    <w:basedOn w:val="23"/>
    <w:qFormat/>
    <w:uiPriority w:val="0"/>
  </w:style>
  <w:style w:type="character" w:styleId="26">
    <w:name w:val="FollowedHyperlink"/>
    <w:basedOn w:val="23"/>
    <w:semiHidden/>
    <w:unhideWhenUsed/>
    <w:qFormat/>
    <w:uiPriority w:val="99"/>
    <w:rPr>
      <w:color w:val="800080"/>
      <w:u w:val="single"/>
    </w:rPr>
  </w:style>
  <w:style w:type="character" w:styleId="27">
    <w:name w:val="HTML Variable"/>
    <w:basedOn w:val="23"/>
    <w:qFormat/>
    <w:uiPriority w:val="0"/>
    <w:rPr>
      <w:i/>
      <w:iCs/>
    </w:rPr>
  </w:style>
  <w:style w:type="character" w:styleId="28">
    <w:name w:val="Hyperlink"/>
    <w:basedOn w:val="23"/>
    <w:unhideWhenUsed/>
    <w:qFormat/>
    <w:uiPriority w:val="99"/>
    <w:rPr>
      <w:color w:val="0000FF"/>
      <w:u w:val="single"/>
    </w:rPr>
  </w:style>
  <w:style w:type="character" w:styleId="29">
    <w:name w:val="annotation reference"/>
    <w:basedOn w:val="23"/>
    <w:semiHidden/>
    <w:unhideWhenUsed/>
    <w:qFormat/>
    <w:uiPriority w:val="99"/>
    <w:rPr>
      <w:sz w:val="21"/>
      <w:szCs w:val="21"/>
    </w:rPr>
  </w:style>
  <w:style w:type="character" w:customStyle="1" w:styleId="30">
    <w:name w:val="标题 1 字符"/>
    <w:basedOn w:val="23"/>
    <w:link w:val="3"/>
    <w:qFormat/>
    <w:uiPriority w:val="9"/>
    <w:rPr>
      <w:rFonts w:ascii="宋体" w:hAnsi="宋体" w:eastAsia="宋体" w:cs="Times New Roman"/>
      <w:b/>
      <w:bCs/>
      <w:kern w:val="44"/>
      <w:sz w:val="44"/>
      <w:szCs w:val="44"/>
    </w:rPr>
  </w:style>
  <w:style w:type="character" w:customStyle="1" w:styleId="31">
    <w:name w:val="页眉 字符"/>
    <w:basedOn w:val="23"/>
    <w:link w:val="14"/>
    <w:qFormat/>
    <w:uiPriority w:val="99"/>
    <w:rPr>
      <w:rFonts w:ascii="宋体" w:hAnsi="宋体" w:eastAsia="宋体" w:cs="Times New Roman"/>
      <w:kern w:val="0"/>
      <w:sz w:val="18"/>
      <w:szCs w:val="18"/>
    </w:rPr>
  </w:style>
  <w:style w:type="character" w:customStyle="1" w:styleId="32">
    <w:name w:val="页脚 字符"/>
    <w:basedOn w:val="23"/>
    <w:link w:val="13"/>
    <w:qFormat/>
    <w:uiPriority w:val="0"/>
    <w:rPr>
      <w:rFonts w:ascii="宋体" w:hAnsi="宋体" w:eastAsia="宋体" w:cs="Times New Roman"/>
      <w:kern w:val="0"/>
      <w:sz w:val="18"/>
      <w:szCs w:val="18"/>
    </w:rPr>
  </w:style>
  <w:style w:type="character" w:customStyle="1" w:styleId="33">
    <w:name w:val="正文文本 字符"/>
    <w:basedOn w:val="23"/>
    <w:link w:val="8"/>
    <w:qFormat/>
    <w:uiPriority w:val="0"/>
    <w:rPr>
      <w:rFonts w:ascii="宋体" w:hAnsi="宋体" w:eastAsia="宋体" w:cs="Times New Roman"/>
      <w:b/>
      <w:bCs/>
      <w:kern w:val="0"/>
      <w:sz w:val="36"/>
      <w:szCs w:val="24"/>
    </w:rPr>
  </w:style>
  <w:style w:type="character" w:customStyle="1" w:styleId="34">
    <w:name w:val="正文文本 2 字符"/>
    <w:basedOn w:val="23"/>
    <w:link w:val="18"/>
    <w:semiHidden/>
    <w:qFormat/>
    <w:uiPriority w:val="99"/>
    <w:rPr>
      <w:rFonts w:ascii="宋体" w:hAnsi="宋体" w:eastAsia="宋体" w:cs="Times New Roman"/>
      <w:kern w:val="0"/>
      <w:sz w:val="24"/>
      <w:szCs w:val="24"/>
    </w:rPr>
  </w:style>
  <w:style w:type="character" w:customStyle="1" w:styleId="35">
    <w:name w:val="正文文本缩进 字符"/>
    <w:basedOn w:val="23"/>
    <w:link w:val="9"/>
    <w:semiHidden/>
    <w:qFormat/>
    <w:uiPriority w:val="99"/>
    <w:rPr>
      <w:rFonts w:ascii="宋体" w:hAnsi="宋体" w:eastAsia="宋体" w:cs="Times New Roman"/>
      <w:kern w:val="0"/>
      <w:sz w:val="24"/>
      <w:szCs w:val="24"/>
    </w:rPr>
  </w:style>
  <w:style w:type="character" w:customStyle="1" w:styleId="36">
    <w:name w:val="日期 字符"/>
    <w:basedOn w:val="23"/>
    <w:link w:val="11"/>
    <w:semiHidden/>
    <w:qFormat/>
    <w:uiPriority w:val="99"/>
    <w:rPr>
      <w:rFonts w:ascii="宋体" w:hAnsi="宋体" w:eastAsia="宋体" w:cs="Times New Roman"/>
      <w:kern w:val="0"/>
      <w:sz w:val="24"/>
      <w:szCs w:val="24"/>
    </w:rPr>
  </w:style>
  <w:style w:type="character" w:customStyle="1" w:styleId="37">
    <w:name w:val="批注框文本 字符"/>
    <w:basedOn w:val="23"/>
    <w:link w:val="12"/>
    <w:semiHidden/>
    <w:qFormat/>
    <w:uiPriority w:val="0"/>
    <w:rPr>
      <w:rFonts w:ascii="宋体" w:hAnsi="宋体" w:eastAsia="宋体" w:cs="Times New Roman"/>
      <w:kern w:val="0"/>
      <w:sz w:val="18"/>
      <w:szCs w:val="18"/>
    </w:rPr>
  </w:style>
  <w:style w:type="paragraph" w:customStyle="1" w:styleId="38">
    <w:name w:val="TOC 标题1"/>
    <w:basedOn w:val="3"/>
    <w:next w:val="1"/>
    <w:qFormat/>
    <w:uiPriority w:val="39"/>
    <w:pPr>
      <w:widowControl/>
      <w:spacing w:before="480" w:after="0" w:line="276" w:lineRule="auto"/>
      <w:ind w:left="0"/>
      <w:outlineLvl w:val="9"/>
    </w:pPr>
    <w:rPr>
      <w:rFonts w:ascii="Cambria" w:hAnsi="Cambria"/>
      <w:color w:val="365F91"/>
      <w:kern w:val="0"/>
      <w:sz w:val="28"/>
      <w:szCs w:val="28"/>
    </w:rPr>
  </w:style>
  <w:style w:type="paragraph" w:customStyle="1" w:styleId="39">
    <w:name w:val="font0"/>
    <w:basedOn w:val="1"/>
    <w:qFormat/>
    <w:uiPriority w:val="0"/>
    <w:pPr>
      <w:widowControl/>
      <w:spacing w:before="100" w:beforeAutospacing="1" w:after="100" w:afterAutospacing="1" w:line="240" w:lineRule="auto"/>
      <w:ind w:left="0"/>
    </w:pPr>
    <w:rPr>
      <w:rFonts w:cs="宋体"/>
    </w:rPr>
  </w:style>
  <w:style w:type="paragraph" w:customStyle="1" w:styleId="40">
    <w:name w:val="font5"/>
    <w:basedOn w:val="1"/>
    <w:qFormat/>
    <w:uiPriority w:val="0"/>
    <w:pPr>
      <w:widowControl/>
      <w:spacing w:before="100" w:beforeAutospacing="1" w:after="100" w:afterAutospacing="1" w:line="240" w:lineRule="auto"/>
      <w:ind w:left="0"/>
    </w:pPr>
    <w:rPr>
      <w:rFonts w:cs="宋体"/>
    </w:rPr>
  </w:style>
  <w:style w:type="paragraph" w:customStyle="1" w:styleId="41">
    <w:name w:val="font6"/>
    <w:basedOn w:val="1"/>
    <w:qFormat/>
    <w:uiPriority w:val="0"/>
    <w:pPr>
      <w:widowControl/>
      <w:spacing w:before="100" w:beforeAutospacing="1" w:after="100" w:afterAutospacing="1" w:line="240" w:lineRule="auto"/>
      <w:ind w:left="0"/>
    </w:pPr>
    <w:rPr>
      <w:rFonts w:cs="宋体"/>
      <w:sz w:val="18"/>
      <w:szCs w:val="18"/>
    </w:rPr>
  </w:style>
  <w:style w:type="paragraph" w:customStyle="1" w:styleId="42">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left="0"/>
      <w:jc w:val="center"/>
    </w:pPr>
    <w:rPr>
      <w:rFonts w:cs="宋体"/>
      <w:b/>
      <w:bCs/>
    </w:rPr>
  </w:style>
  <w:style w:type="paragraph" w:customStyle="1" w:styleId="43">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left="0"/>
      <w:jc w:val="center"/>
    </w:pPr>
    <w:rPr>
      <w:rFonts w:cs="宋体"/>
    </w:rPr>
  </w:style>
  <w:style w:type="paragraph" w:customStyle="1" w:styleId="44">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left="0"/>
    </w:pPr>
    <w:rPr>
      <w:rFonts w:cs="宋体"/>
    </w:rPr>
  </w:style>
  <w:style w:type="paragraph" w:customStyle="1" w:styleId="45">
    <w:name w:val="xl25"/>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left="0"/>
      <w:jc w:val="center"/>
    </w:pPr>
    <w:rPr>
      <w:rFonts w:cs="宋体"/>
    </w:rPr>
  </w:style>
  <w:style w:type="paragraph" w:customStyle="1" w:styleId="46">
    <w:name w:val="xl26"/>
    <w:basedOn w:val="1"/>
    <w:qFormat/>
    <w:uiPriority w:val="0"/>
    <w:pPr>
      <w:widowControl/>
      <w:pBdr>
        <w:top w:val="single" w:color="auto" w:sz="4" w:space="0"/>
      </w:pBdr>
      <w:spacing w:before="100" w:beforeAutospacing="1" w:after="100" w:afterAutospacing="1" w:line="240" w:lineRule="auto"/>
      <w:ind w:left="0"/>
      <w:jc w:val="center"/>
    </w:pPr>
    <w:rPr>
      <w:rFonts w:cs="宋体"/>
      <w:b/>
      <w:bCs/>
      <w:sz w:val="36"/>
      <w:szCs w:val="36"/>
    </w:rPr>
  </w:style>
  <w:style w:type="character" w:customStyle="1" w:styleId="47">
    <w:name w:val="apple-style-span"/>
    <w:basedOn w:val="23"/>
    <w:qFormat/>
    <w:uiPriority w:val="0"/>
  </w:style>
  <w:style w:type="paragraph" w:customStyle="1" w:styleId="48">
    <w:name w:val="font7"/>
    <w:basedOn w:val="1"/>
    <w:qFormat/>
    <w:uiPriority w:val="0"/>
    <w:pPr>
      <w:widowControl/>
      <w:spacing w:before="100" w:beforeAutospacing="1" w:after="100" w:afterAutospacing="1" w:line="240" w:lineRule="auto"/>
      <w:ind w:left="0"/>
    </w:pPr>
    <w:rPr>
      <w:rFonts w:cs="宋体"/>
      <w:sz w:val="18"/>
      <w:szCs w:val="18"/>
    </w:rPr>
  </w:style>
  <w:style w:type="paragraph" w:customStyle="1" w:styleId="49">
    <w:name w:val="font8"/>
    <w:basedOn w:val="1"/>
    <w:qFormat/>
    <w:uiPriority w:val="0"/>
    <w:pPr>
      <w:widowControl/>
      <w:spacing w:before="100" w:beforeAutospacing="1" w:after="100" w:afterAutospacing="1" w:line="240" w:lineRule="auto"/>
      <w:ind w:left="0"/>
    </w:pPr>
    <w:rPr>
      <w:rFonts w:cs="宋体"/>
      <w:sz w:val="18"/>
      <w:szCs w:val="18"/>
    </w:rPr>
  </w:style>
  <w:style w:type="paragraph" w:customStyle="1" w:styleId="50">
    <w:name w:val="font9"/>
    <w:basedOn w:val="1"/>
    <w:qFormat/>
    <w:uiPriority w:val="0"/>
    <w:pPr>
      <w:widowControl/>
      <w:spacing w:before="100" w:beforeAutospacing="1" w:after="100" w:afterAutospacing="1" w:line="240" w:lineRule="auto"/>
      <w:ind w:left="0"/>
    </w:pPr>
    <w:rPr>
      <w:rFonts w:cs="宋体"/>
      <w:sz w:val="18"/>
      <w:szCs w:val="18"/>
    </w:rPr>
  </w:style>
  <w:style w:type="paragraph" w:customStyle="1" w:styleId="51">
    <w:name w:val="font10"/>
    <w:basedOn w:val="1"/>
    <w:qFormat/>
    <w:uiPriority w:val="0"/>
    <w:pPr>
      <w:widowControl/>
      <w:spacing w:before="100" w:beforeAutospacing="1" w:after="100" w:afterAutospacing="1" w:line="240" w:lineRule="auto"/>
      <w:ind w:left="0"/>
    </w:pPr>
    <w:rPr>
      <w:rFonts w:cs="宋体"/>
      <w:sz w:val="18"/>
      <w:szCs w:val="18"/>
    </w:rPr>
  </w:style>
  <w:style w:type="paragraph" w:customStyle="1" w:styleId="52">
    <w:name w:val="font11"/>
    <w:basedOn w:val="1"/>
    <w:qFormat/>
    <w:uiPriority w:val="0"/>
    <w:pPr>
      <w:widowControl/>
      <w:spacing w:before="100" w:beforeAutospacing="1" w:after="100" w:afterAutospacing="1" w:line="240" w:lineRule="auto"/>
      <w:ind w:left="0"/>
    </w:pPr>
    <w:rPr>
      <w:rFonts w:cs="宋体"/>
      <w:sz w:val="18"/>
      <w:szCs w:val="18"/>
    </w:rPr>
  </w:style>
  <w:style w:type="paragraph" w:customStyle="1" w:styleId="5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left="0"/>
      <w:jc w:val="center"/>
    </w:pPr>
    <w:rPr>
      <w:rFonts w:cs="宋体"/>
      <w:sz w:val="18"/>
      <w:szCs w:val="18"/>
    </w:rPr>
  </w:style>
  <w:style w:type="paragraph" w:customStyle="1" w:styleId="54">
    <w:name w:val="xl69"/>
    <w:basedOn w:val="1"/>
    <w:qFormat/>
    <w:uiPriority w:val="0"/>
    <w:pPr>
      <w:widowControl/>
      <w:spacing w:before="100" w:beforeAutospacing="1" w:after="100" w:afterAutospacing="1" w:line="240" w:lineRule="auto"/>
      <w:ind w:left="0"/>
      <w:jc w:val="center"/>
    </w:pPr>
    <w:rPr>
      <w:rFonts w:cs="宋体"/>
      <w:sz w:val="18"/>
      <w:szCs w:val="18"/>
    </w:rPr>
  </w:style>
  <w:style w:type="paragraph" w:customStyle="1" w:styleId="55">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left="0"/>
      <w:jc w:val="center"/>
    </w:pPr>
    <w:rPr>
      <w:rFonts w:cs="宋体"/>
      <w:color w:val="FF0000"/>
      <w:sz w:val="18"/>
      <w:szCs w:val="18"/>
    </w:rPr>
  </w:style>
  <w:style w:type="paragraph" w:customStyle="1" w:styleId="56">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left="0"/>
      <w:jc w:val="center"/>
    </w:pPr>
    <w:rPr>
      <w:rFonts w:cs="宋体"/>
      <w:sz w:val="18"/>
      <w:szCs w:val="18"/>
    </w:rPr>
  </w:style>
  <w:style w:type="paragraph" w:customStyle="1" w:styleId="57">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left="0"/>
      <w:jc w:val="center"/>
    </w:pPr>
    <w:rPr>
      <w:rFonts w:cs="宋体"/>
      <w:color w:val="000000"/>
      <w:sz w:val="18"/>
      <w:szCs w:val="18"/>
    </w:rPr>
  </w:style>
  <w:style w:type="paragraph" w:customStyle="1" w:styleId="58">
    <w:name w:val="xl73"/>
    <w:basedOn w:val="1"/>
    <w:qFormat/>
    <w:uiPriority w:val="0"/>
    <w:pPr>
      <w:widowControl/>
      <w:spacing w:before="100" w:beforeAutospacing="1" w:after="100" w:afterAutospacing="1" w:line="240" w:lineRule="auto"/>
      <w:ind w:left="0"/>
      <w:jc w:val="center"/>
    </w:pPr>
    <w:rPr>
      <w:rFonts w:cs="宋体"/>
      <w:color w:val="FF0000"/>
      <w:sz w:val="18"/>
      <w:szCs w:val="18"/>
    </w:rPr>
  </w:style>
  <w:style w:type="paragraph" w:customStyle="1" w:styleId="59">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left="0"/>
    </w:pPr>
    <w:rPr>
      <w:rFonts w:cs="宋体"/>
      <w:sz w:val="18"/>
      <w:szCs w:val="18"/>
    </w:rPr>
  </w:style>
  <w:style w:type="paragraph" w:customStyle="1" w:styleId="6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left="0"/>
    </w:pPr>
    <w:rPr>
      <w:rFonts w:cs="宋体"/>
      <w:color w:val="FF0000"/>
      <w:sz w:val="18"/>
      <w:szCs w:val="18"/>
    </w:rPr>
  </w:style>
  <w:style w:type="paragraph" w:customStyle="1" w:styleId="61">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left="0"/>
    </w:pPr>
    <w:rPr>
      <w:rFonts w:cs="宋体"/>
      <w:color w:val="000000"/>
      <w:sz w:val="18"/>
      <w:szCs w:val="18"/>
    </w:rPr>
  </w:style>
  <w:style w:type="paragraph" w:customStyle="1" w:styleId="62">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left="0"/>
    </w:pPr>
    <w:rPr>
      <w:rFonts w:cs="宋体"/>
      <w:color w:val="000000"/>
      <w:sz w:val="18"/>
      <w:szCs w:val="18"/>
    </w:rPr>
  </w:style>
  <w:style w:type="paragraph" w:customStyle="1" w:styleId="6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left="0"/>
    </w:pPr>
    <w:rPr>
      <w:rFonts w:cs="宋体"/>
      <w:sz w:val="18"/>
      <w:szCs w:val="18"/>
    </w:rPr>
  </w:style>
  <w:style w:type="paragraph" w:customStyle="1" w:styleId="64">
    <w:name w:val="xl79"/>
    <w:basedOn w:val="1"/>
    <w:qFormat/>
    <w:uiPriority w:val="0"/>
    <w:pPr>
      <w:widowControl/>
      <w:spacing w:before="100" w:beforeAutospacing="1" w:after="100" w:afterAutospacing="1" w:line="240" w:lineRule="auto"/>
      <w:ind w:left="0"/>
    </w:pPr>
    <w:rPr>
      <w:rFonts w:cs="宋体"/>
      <w:sz w:val="18"/>
      <w:szCs w:val="18"/>
    </w:rPr>
  </w:style>
  <w:style w:type="character" w:customStyle="1" w:styleId="65">
    <w:name w:val="apple-converted-space"/>
    <w:basedOn w:val="23"/>
    <w:qFormat/>
    <w:uiPriority w:val="0"/>
  </w:style>
  <w:style w:type="character" w:customStyle="1" w:styleId="66">
    <w:name w:val="f101"/>
    <w:basedOn w:val="23"/>
    <w:qFormat/>
    <w:uiPriority w:val="0"/>
    <w:rPr>
      <w:spacing w:val="500"/>
      <w:sz w:val="24"/>
      <w:szCs w:val="24"/>
    </w:rPr>
  </w:style>
  <w:style w:type="character" w:customStyle="1" w:styleId="67">
    <w:name w:val="副标题 字符"/>
    <w:basedOn w:val="23"/>
    <w:link w:val="16"/>
    <w:qFormat/>
    <w:uiPriority w:val="11"/>
    <w:rPr>
      <w:rFonts w:ascii="Cambria" w:hAnsi="Cambria" w:eastAsia="宋体" w:cs="Times New Roman"/>
      <w:b/>
      <w:bCs/>
      <w:kern w:val="28"/>
      <w:sz w:val="32"/>
      <w:szCs w:val="32"/>
    </w:rPr>
  </w:style>
  <w:style w:type="paragraph" w:styleId="68">
    <w:name w:val="List Paragraph"/>
    <w:basedOn w:val="1"/>
    <w:qFormat/>
    <w:uiPriority w:val="34"/>
    <w:pPr>
      <w:ind w:firstLine="420" w:firstLineChars="200"/>
    </w:pPr>
  </w:style>
  <w:style w:type="character" w:customStyle="1" w:styleId="69">
    <w:name w:val="批注文字 字符"/>
    <w:basedOn w:val="23"/>
    <w:link w:val="7"/>
    <w:semiHidden/>
    <w:qFormat/>
    <w:uiPriority w:val="99"/>
    <w:rPr>
      <w:rFonts w:ascii="宋体" w:hAnsi="宋体" w:eastAsia="宋体" w:cs="Times New Roman"/>
      <w:sz w:val="24"/>
      <w:szCs w:val="24"/>
    </w:rPr>
  </w:style>
  <w:style w:type="character" w:customStyle="1" w:styleId="70">
    <w:name w:val="批注主题 字符"/>
    <w:basedOn w:val="69"/>
    <w:link w:val="20"/>
    <w:semiHidden/>
    <w:qFormat/>
    <w:uiPriority w:val="99"/>
    <w:rPr>
      <w:rFonts w:ascii="宋体" w:hAnsi="宋体" w:eastAsia="宋体" w:cs="Times New Roman"/>
      <w:b/>
      <w:bCs/>
      <w:sz w:val="24"/>
      <w:szCs w:val="24"/>
    </w:rPr>
  </w:style>
  <w:style w:type="paragraph" w:customStyle="1" w:styleId="71">
    <w:name w:val="tgt"/>
    <w:basedOn w:val="1"/>
    <w:qFormat/>
    <w:uiPriority w:val="0"/>
    <w:pPr>
      <w:widowControl/>
      <w:spacing w:before="100" w:beforeAutospacing="1" w:after="100" w:afterAutospacing="1" w:line="240" w:lineRule="auto"/>
      <w:ind w:left="0"/>
    </w:pPr>
    <w:rPr>
      <w:rFonts w:cs="宋体"/>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5EBA80-C50A-47CE-995A-FCD129E3E3A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10596</Words>
  <Characters>10885</Characters>
  <Lines>89</Lines>
  <Paragraphs>25</Paragraphs>
  <TotalTime>42</TotalTime>
  <ScaleCrop>false</ScaleCrop>
  <LinksUpToDate>false</LinksUpToDate>
  <CharactersWithSpaces>11069</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2022-05-04T06:06:00Z</dcterms:created>
  <dc:creator>zoey</dc:creator>
  <cp:lastModifiedBy>Zoey</cp:lastModifiedBy>
  <cp:lastPrinted>2022-08-01T01:32:00Z</cp:lastPrinted>
  <dcterms:modified xsi:type="dcterms:W3CDTF">2022-09-14T07:00:17Z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E367BF156B454DEC8CD70C368A6A7B5A</vt:lpwstr>
  </property>
</Properties>
</file>