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rPr>
          <w:rFonts w:hint="eastAsia" w:ascii="宋体" w:hAnsi="宋体" w:eastAsia="宋体" w:cs="宋体"/>
          <w:color w:val="000000"/>
          <w:sz w:val="28"/>
          <w:szCs w:val="28"/>
        </w:rPr>
      </w:pPr>
    </w:p>
    <w:p>
      <w:pPr>
        <w:spacing w:line="500" w:lineRule="exact"/>
        <w:jc w:val="center"/>
        <w:rPr>
          <w:rFonts w:hint="eastAsia" w:ascii="宋体" w:hAnsi="宋体" w:eastAsia="宋体" w:cs="宋体"/>
          <w:b/>
          <w:sz w:val="48"/>
          <w:szCs w:val="44"/>
        </w:rPr>
      </w:pPr>
      <w:r>
        <w:rPr>
          <w:rFonts w:hint="eastAsia" w:ascii="宋体" w:hAnsi="宋体" w:eastAsia="宋体" w:cs="宋体"/>
          <w:b/>
          <w:sz w:val="48"/>
          <w:szCs w:val="44"/>
        </w:rPr>
        <w:t>深圳市龙岗区平湖街道凤凰工业园</w:t>
      </w:r>
    </w:p>
    <w:p>
      <w:pPr>
        <w:tabs>
          <w:tab w:val="left" w:pos="4140"/>
        </w:tabs>
        <w:adjustRightInd w:val="0"/>
        <w:snapToGrid w:val="0"/>
        <w:jc w:val="center"/>
        <w:rPr>
          <w:rFonts w:hint="eastAsia" w:ascii="宋体" w:hAnsi="宋体" w:eastAsia="宋体" w:cs="宋体"/>
          <w:color w:val="000000"/>
          <w:sz w:val="36"/>
          <w:szCs w:val="32"/>
        </w:rPr>
      </w:pPr>
      <w:r>
        <w:rPr>
          <w:rFonts w:hint="eastAsia" w:ascii="宋体" w:hAnsi="宋体" w:eastAsia="宋体" w:cs="宋体"/>
          <w:b/>
          <w:sz w:val="48"/>
          <w:szCs w:val="44"/>
        </w:rPr>
        <w:t>城市更新项目</w:t>
      </w:r>
    </w:p>
    <w:p>
      <w:pPr>
        <w:adjustRightInd w:val="0"/>
        <w:snapToGrid w:val="0"/>
        <w:jc w:val="center"/>
        <w:rPr>
          <w:rFonts w:hint="eastAsia" w:ascii="宋体" w:hAnsi="宋体" w:eastAsia="宋体" w:cs="宋体"/>
          <w:b/>
          <w:color w:val="000000"/>
          <w:sz w:val="38"/>
          <w:szCs w:val="32"/>
        </w:rPr>
      </w:pPr>
      <w:r>
        <w:rPr>
          <w:rFonts w:hint="eastAsia" w:ascii="宋体" w:hAnsi="宋体" w:eastAsia="宋体" w:cs="宋体"/>
          <w:b/>
          <w:bCs/>
          <w:color w:val="000000"/>
          <w:sz w:val="50"/>
          <w:szCs w:val="44"/>
          <w:lang w:val="en-US" w:eastAsia="zh-CN"/>
        </w:rPr>
        <w:t>招标</w:t>
      </w:r>
      <w:r>
        <w:rPr>
          <w:rFonts w:hint="eastAsia" w:ascii="宋体" w:hAnsi="宋体" w:eastAsia="宋体" w:cs="宋体"/>
          <w:b/>
          <w:bCs/>
          <w:color w:val="000000"/>
          <w:sz w:val="50"/>
          <w:szCs w:val="44"/>
        </w:rPr>
        <w:t>文件</w:t>
      </w:r>
    </w:p>
    <w:p>
      <w:pPr>
        <w:adjustRightInd w:val="0"/>
        <w:snapToGrid w:val="0"/>
        <w:spacing w:line="300" w:lineRule="auto"/>
        <w:jc w:val="center"/>
        <w:rPr>
          <w:rFonts w:hint="eastAsia" w:ascii="宋体" w:hAnsi="宋体" w:eastAsia="宋体" w:cs="宋体"/>
          <w:b/>
          <w:bCs/>
          <w:color w:val="000000"/>
          <w:sz w:val="28"/>
          <w:szCs w:val="22"/>
        </w:rPr>
      </w:pPr>
    </w:p>
    <w:p>
      <w:pPr>
        <w:adjustRightInd w:val="0"/>
        <w:snapToGrid w:val="0"/>
        <w:spacing w:line="300" w:lineRule="auto"/>
        <w:jc w:val="center"/>
        <w:rPr>
          <w:rFonts w:hint="eastAsia" w:ascii="宋体" w:hAnsi="宋体" w:eastAsia="宋体" w:cs="宋体"/>
          <w:b/>
          <w:bCs/>
          <w:color w:val="000000"/>
          <w:sz w:val="28"/>
          <w:szCs w:val="22"/>
        </w:rPr>
      </w:pPr>
    </w:p>
    <w:p>
      <w:pPr>
        <w:adjustRightInd w:val="0"/>
        <w:snapToGrid w:val="0"/>
        <w:spacing w:line="300" w:lineRule="auto"/>
        <w:jc w:val="center"/>
        <w:rPr>
          <w:rFonts w:hint="eastAsia" w:ascii="宋体" w:hAnsi="宋体" w:eastAsia="宋体" w:cs="宋体"/>
          <w:color w:val="000000"/>
          <w:sz w:val="28"/>
          <w:szCs w:val="28"/>
        </w:rPr>
      </w:pPr>
    </w:p>
    <w:p>
      <w:pPr>
        <w:adjustRightInd w:val="0"/>
        <w:snapToGrid w:val="0"/>
        <w:spacing w:line="300" w:lineRule="auto"/>
        <w:jc w:val="center"/>
        <w:rPr>
          <w:rFonts w:hint="eastAsia" w:ascii="宋体" w:hAnsi="宋体" w:eastAsia="宋体" w:cs="宋体"/>
          <w:color w:val="000000"/>
          <w:sz w:val="28"/>
          <w:szCs w:val="28"/>
        </w:rPr>
      </w:pPr>
      <w:r>
        <w:rPr>
          <w:rFonts w:hint="eastAsia" w:ascii="宋体" w:hAnsi="宋体" w:eastAsia="宋体" w:cs="宋体"/>
          <w:color w:val="000000"/>
          <w:sz w:val="28"/>
          <w:szCs w:val="28"/>
        </w:rPr>
        <w:t>（项目编号：LGJY2022167301</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w:t>
      </w:r>
    </w:p>
    <w:p>
      <w:pPr>
        <w:adjustRightInd w:val="0"/>
        <w:snapToGrid w:val="0"/>
        <w:spacing w:line="300" w:lineRule="auto"/>
        <w:jc w:val="center"/>
        <w:rPr>
          <w:rFonts w:hint="eastAsia" w:ascii="宋体" w:hAnsi="宋体" w:eastAsia="宋体" w:cs="宋体"/>
          <w:b/>
          <w:bCs/>
          <w:color w:val="000000"/>
          <w:sz w:val="28"/>
          <w:szCs w:val="22"/>
        </w:rPr>
      </w:pPr>
    </w:p>
    <w:p>
      <w:pPr>
        <w:adjustRightInd w:val="0"/>
        <w:snapToGrid w:val="0"/>
        <w:spacing w:line="300" w:lineRule="auto"/>
        <w:jc w:val="center"/>
        <w:rPr>
          <w:rFonts w:hint="eastAsia" w:ascii="宋体" w:hAnsi="宋体" w:eastAsia="宋体" w:cs="宋体"/>
          <w:b/>
          <w:bCs/>
          <w:color w:val="000000"/>
          <w:sz w:val="28"/>
          <w:szCs w:val="22"/>
        </w:rPr>
      </w:pPr>
    </w:p>
    <w:p>
      <w:pPr>
        <w:adjustRightInd w:val="0"/>
        <w:snapToGrid w:val="0"/>
        <w:spacing w:line="300" w:lineRule="auto"/>
        <w:jc w:val="center"/>
        <w:rPr>
          <w:rFonts w:hint="eastAsia" w:ascii="宋体" w:hAnsi="宋体" w:eastAsia="宋体" w:cs="宋体"/>
          <w:b/>
          <w:bCs/>
          <w:color w:val="000000"/>
          <w:sz w:val="28"/>
          <w:szCs w:val="22"/>
        </w:rPr>
      </w:pPr>
    </w:p>
    <w:p>
      <w:pPr>
        <w:adjustRightInd w:val="0"/>
        <w:snapToGrid w:val="0"/>
        <w:spacing w:line="300" w:lineRule="auto"/>
        <w:jc w:val="center"/>
        <w:rPr>
          <w:rFonts w:hint="eastAsia" w:ascii="宋体" w:hAnsi="宋体" w:eastAsia="宋体" w:cs="宋体"/>
          <w:b/>
          <w:bCs/>
          <w:color w:val="000000"/>
          <w:sz w:val="28"/>
          <w:szCs w:val="22"/>
        </w:rPr>
      </w:pPr>
    </w:p>
    <w:p>
      <w:pPr>
        <w:adjustRightInd w:val="0"/>
        <w:snapToGrid w:val="0"/>
        <w:spacing w:line="300" w:lineRule="auto"/>
        <w:jc w:val="center"/>
        <w:rPr>
          <w:rFonts w:hint="eastAsia" w:ascii="宋体" w:hAnsi="宋体" w:eastAsia="宋体" w:cs="宋体"/>
          <w:b/>
          <w:bCs/>
          <w:color w:val="000000"/>
          <w:sz w:val="28"/>
          <w:szCs w:val="22"/>
        </w:rPr>
      </w:pPr>
    </w:p>
    <w:p>
      <w:pPr>
        <w:spacing w:after="156" w:afterLines="50" w:line="320" w:lineRule="exact"/>
        <w:jc w:val="center"/>
        <w:rPr>
          <w:rFonts w:hint="eastAsia" w:ascii="宋体" w:hAnsi="宋体" w:eastAsia="宋体" w:cs="宋体"/>
          <w:b/>
          <w:color w:val="000000"/>
          <w:sz w:val="24"/>
        </w:rPr>
      </w:pPr>
    </w:p>
    <w:p>
      <w:pPr>
        <w:adjustRightInd w:val="0"/>
        <w:snapToGrid w:val="0"/>
        <w:spacing w:line="300" w:lineRule="auto"/>
        <w:jc w:val="center"/>
        <w:rPr>
          <w:rFonts w:hint="eastAsia" w:ascii="宋体" w:hAnsi="宋体" w:eastAsia="宋体" w:cs="宋体"/>
          <w:b/>
          <w:bCs/>
          <w:color w:val="000000"/>
          <w:sz w:val="28"/>
          <w:szCs w:val="22"/>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rPr>
          <w:rFonts w:hint="eastAsia" w:ascii="宋体" w:hAnsi="宋体" w:eastAsia="宋体" w:cs="宋体"/>
          <w:color w:val="000000"/>
          <w:szCs w:val="21"/>
        </w:rPr>
      </w:pPr>
    </w:p>
    <w:p>
      <w:pPr>
        <w:widowControl/>
        <w:spacing w:line="480" w:lineRule="exact"/>
        <w:jc w:val="center"/>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深圳市新南股份合作公司</w:t>
      </w:r>
    </w:p>
    <w:p>
      <w:pPr>
        <w:widowControl/>
        <w:rPr>
          <w:rFonts w:hint="eastAsia" w:ascii="宋体" w:hAnsi="宋体" w:eastAsia="宋体" w:cs="宋体"/>
          <w:color w:val="000000"/>
          <w:szCs w:val="21"/>
        </w:rPr>
      </w:pPr>
    </w:p>
    <w:p>
      <w:pPr>
        <w:widowControl/>
        <w:spacing w:line="480" w:lineRule="exact"/>
        <w:jc w:val="center"/>
        <w:rPr>
          <w:rFonts w:hint="eastAsia" w:ascii="宋体" w:hAnsi="宋体" w:eastAsia="宋体" w:cs="宋体"/>
          <w:color w:val="000000"/>
          <w:sz w:val="32"/>
          <w:szCs w:val="32"/>
        </w:rPr>
      </w:pPr>
      <w:r>
        <w:rPr>
          <w:rFonts w:hint="eastAsia" w:ascii="宋体" w:hAnsi="宋体" w:eastAsia="宋体" w:cs="宋体"/>
          <w:color w:val="000000"/>
          <w:sz w:val="32"/>
          <w:szCs w:val="32"/>
        </w:rPr>
        <w:t>二〇二</w:t>
      </w:r>
      <w:r>
        <w:rPr>
          <w:rFonts w:hint="eastAsia" w:ascii="宋体" w:hAnsi="宋体" w:eastAsia="宋体" w:cs="宋体"/>
          <w:color w:val="000000"/>
          <w:sz w:val="32"/>
          <w:szCs w:val="32"/>
          <w:lang w:eastAsia="zh-CN"/>
        </w:rPr>
        <w:t>二</w:t>
      </w:r>
      <w:r>
        <w:rPr>
          <w:rFonts w:hint="eastAsia" w:ascii="宋体" w:hAnsi="宋体" w:eastAsia="宋体" w:cs="宋体"/>
          <w:color w:val="000000"/>
          <w:sz w:val="32"/>
          <w:szCs w:val="32"/>
        </w:rPr>
        <w:t>年</w:t>
      </w:r>
    </w:p>
    <w:p>
      <w:pPr>
        <w:widowControl/>
        <w:spacing w:line="480" w:lineRule="exact"/>
        <w:rPr>
          <w:rFonts w:hint="eastAsia" w:ascii="宋体" w:hAnsi="宋体" w:eastAsia="宋体" w:cs="宋体"/>
          <w:b/>
          <w:color w:val="000000"/>
          <w:sz w:val="32"/>
          <w:szCs w:val="32"/>
        </w:rPr>
      </w:pPr>
    </w:p>
    <w:p>
      <w:pPr>
        <w:widowControl/>
        <w:spacing w:line="480" w:lineRule="exact"/>
        <w:rPr>
          <w:rFonts w:hint="eastAsia" w:ascii="宋体" w:hAnsi="宋体" w:eastAsia="宋体" w:cs="宋体"/>
          <w:b/>
          <w:color w:val="000000"/>
          <w:sz w:val="32"/>
          <w:szCs w:val="32"/>
        </w:rPr>
      </w:pPr>
    </w:p>
    <w:p>
      <w:pPr>
        <w:keepNext/>
        <w:keepLines/>
        <w:spacing w:before="156" w:beforeLines="50" w:after="156" w:afterLines="50" w:line="400" w:lineRule="exact"/>
        <w:jc w:val="center"/>
        <w:outlineLvl w:val="0"/>
        <w:rPr>
          <w:rFonts w:hint="eastAsia" w:ascii="宋体" w:hAnsi="宋体" w:eastAsia="宋体" w:cs="宋体"/>
          <w:color w:val="000000"/>
          <w:sz w:val="36"/>
          <w:szCs w:val="36"/>
        </w:rPr>
      </w:pPr>
      <w:bookmarkStart w:id="0" w:name="_Toc144974478"/>
      <w:bookmarkStart w:id="1" w:name="_Toc152042286"/>
      <w:r>
        <w:rPr>
          <w:rFonts w:hint="eastAsia" w:ascii="宋体" w:hAnsi="宋体" w:eastAsia="宋体" w:cs="宋体"/>
          <w:color w:val="000000"/>
          <w:sz w:val="52"/>
          <w:szCs w:val="52"/>
        </w:rPr>
        <w:t xml:space="preserve"> </w:t>
      </w:r>
      <w:bookmarkStart w:id="2" w:name="_Toc55238618"/>
      <w:r>
        <w:rPr>
          <w:rFonts w:hint="eastAsia" w:ascii="宋体" w:hAnsi="宋体" w:eastAsia="宋体" w:cs="宋体"/>
          <w:color w:val="000000"/>
          <w:sz w:val="36"/>
          <w:szCs w:val="36"/>
        </w:rPr>
        <w:t>关键信息</w:t>
      </w:r>
      <w:bookmarkEnd w:id="2"/>
      <w:bookmarkStart w:id="3" w:name="_Toc152045528"/>
      <w:bookmarkStart w:id="4" w:name="_Toc152042304"/>
      <w:bookmarkStart w:id="5" w:name="_Toc144974496"/>
    </w:p>
    <w:p>
      <w:pPr>
        <w:keepNext/>
        <w:keepLines/>
        <w:spacing w:before="156" w:beforeLines="50" w:after="156" w:afterLines="50" w:line="400" w:lineRule="exact"/>
        <w:outlineLvl w:val="0"/>
        <w:rPr>
          <w:rFonts w:hint="eastAsia" w:ascii="宋体" w:hAnsi="宋体" w:eastAsia="宋体" w:cs="宋体"/>
          <w:color w:val="000000"/>
          <w:sz w:val="28"/>
          <w:szCs w:val="28"/>
        </w:rPr>
      </w:pPr>
      <w:bookmarkStart w:id="6" w:name="_Toc55238619"/>
      <w:r>
        <w:rPr>
          <w:rFonts w:hint="eastAsia" w:ascii="宋体" w:hAnsi="宋体" w:eastAsia="宋体" w:cs="宋体"/>
          <w:color w:val="000000"/>
          <w:sz w:val="28"/>
          <w:szCs w:val="28"/>
        </w:rPr>
        <w:t>投标人须知</w:t>
      </w:r>
      <w:bookmarkEnd w:id="3"/>
      <w:bookmarkEnd w:id="4"/>
      <w:bookmarkEnd w:id="5"/>
      <w:r>
        <w:rPr>
          <w:rFonts w:hint="eastAsia" w:ascii="宋体" w:hAnsi="宋体" w:eastAsia="宋体" w:cs="宋体"/>
          <w:color w:val="000000"/>
          <w:sz w:val="28"/>
          <w:szCs w:val="28"/>
        </w:rPr>
        <w:t>前附表</w:t>
      </w:r>
      <w:bookmarkEnd w:id="6"/>
      <w:r>
        <w:rPr>
          <w:rFonts w:hint="eastAsia" w:ascii="宋体" w:hAnsi="宋体" w:eastAsia="宋体" w:cs="宋体"/>
          <w:color w:val="000000"/>
          <w:sz w:val="28"/>
          <w:szCs w:val="28"/>
        </w:rPr>
        <w:tab/>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35"/>
        <w:gridCol w:w="4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序号</w:t>
            </w:r>
          </w:p>
        </w:tc>
        <w:tc>
          <w:tcPr>
            <w:tcW w:w="3135" w:type="dxa"/>
            <w:noWrap w:val="0"/>
            <w:vAlign w:val="center"/>
          </w:tcPr>
          <w:p>
            <w:pPr>
              <w:adjustRightInd w:val="0"/>
              <w:spacing w:line="440" w:lineRule="exact"/>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条款名称</w:t>
            </w:r>
          </w:p>
        </w:tc>
        <w:tc>
          <w:tcPr>
            <w:tcW w:w="4587" w:type="dxa"/>
            <w:noWrap w:val="0"/>
            <w:vAlign w:val="center"/>
          </w:tcPr>
          <w:p>
            <w:pPr>
              <w:adjustRightInd w:val="0"/>
              <w:spacing w:line="440" w:lineRule="exact"/>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1</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招标人</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名称：</w:t>
            </w:r>
            <w:r>
              <w:rPr>
                <w:rFonts w:hint="eastAsia" w:ascii="宋体" w:hAnsi="宋体" w:eastAsia="宋体" w:cs="宋体"/>
                <w:color w:val="000000"/>
                <w:sz w:val="24"/>
                <w:szCs w:val="24"/>
                <w:lang w:eastAsia="zh-CN"/>
              </w:rPr>
              <w:t>深圳市新南股份合作公司</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联系人：</w:t>
            </w:r>
            <w:r>
              <w:rPr>
                <w:rFonts w:hint="eastAsia" w:ascii="宋体" w:hAnsi="宋体" w:eastAsia="宋体" w:cs="宋体"/>
                <w:color w:val="000000"/>
                <w:kern w:val="2"/>
                <w:sz w:val="24"/>
                <w:szCs w:val="24"/>
              </w:rPr>
              <w:t>刘伟</w:t>
            </w:r>
            <w:r>
              <w:rPr>
                <w:rFonts w:hint="eastAsia" w:ascii="宋体" w:hAnsi="宋体" w:eastAsia="宋体" w:cs="宋体"/>
                <w:color w:val="000000"/>
                <w:kern w:val="2"/>
                <w:sz w:val="24"/>
                <w:szCs w:val="24"/>
                <w:lang w:eastAsia="zh-CN"/>
              </w:rPr>
              <w:t>红</w:t>
            </w:r>
            <w:r>
              <w:rPr>
                <w:rFonts w:hint="eastAsia" w:ascii="宋体" w:hAnsi="宋体" w:eastAsia="宋体" w:cs="宋体"/>
                <w:color w:val="000000"/>
                <w:sz w:val="24"/>
                <w:szCs w:val="24"/>
              </w:rPr>
              <w:t xml:space="preserve"> </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通讯地址：</w:t>
            </w:r>
            <w:bookmarkStart w:id="7" w:name="_Hlk54167839"/>
            <w:r>
              <w:rPr>
                <w:rFonts w:hint="eastAsia" w:ascii="宋体" w:hAnsi="宋体" w:eastAsia="宋体" w:cs="宋体"/>
                <w:color w:val="000000"/>
                <w:kern w:val="2"/>
                <w:sz w:val="24"/>
                <w:szCs w:val="24"/>
              </w:rPr>
              <w:t>深圳市龙岗区平湖街道深圳市新南股份合作公司11楼办公室</w:t>
            </w:r>
            <w:bookmarkEnd w:id="7"/>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电话：0755-28844594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项目名称</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深圳市龙岗区平湖街道凤凰工业园城市更新项目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 xml:space="preserve"> </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投标人资格要求</w:t>
            </w:r>
          </w:p>
        </w:tc>
        <w:tc>
          <w:tcPr>
            <w:tcW w:w="4587" w:type="dxa"/>
            <w:noWrap w:val="0"/>
            <w:vAlign w:val="center"/>
          </w:tcPr>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1、竞投人资质要求</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1）竞投人或其控股母公司工商注册时间10年以上（含本数），竞投人净资产规模在人民币10亿元（含本数）以上，且负债率不高于50%（含本数）（提供《营业执照》、政府工商部门官方网站查询的企业登记信息查询资料、2021年企业年度审计报告或2022年度上半年审计报告，提供复印件，核验原件）。</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2）竞投人或其控股母公司（直接持有竞投人50%以上股权，下同）具备房地产项目开发资质三级或三级以上（提供竞投人或其控股母公司开发资质证书，提供控股母公司资质的须附母公司营业执照以及政府工商部门官方网站载明的竞投人与控股母公司之间股权关系查询文件）；</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3）竞投人和其控股母公司具有良好的诚信记录（未被国家企业信用信息公示系统网站列入严重违法失信企业名单，未被人民法院列入全国失信被执行人名单，提供竞投人和其控股母公司信息查询的政府官网截图）。</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4）竞投人或其控股母公司（包括该控股母公司直接持股50%以上的项目公司）在深圳市范围内已完成竣工验收的房地产开发项目建筑面积（计容面积和不计容面积之和，下同）应达到50万m²以上（含本数，提供建设工程规划验收合格证明文件，复印件须加盖公章）。</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5）竞投人或其控股母公司（包括该控股母公司直接控股50%以上的项目公司）在深圳市范围内有城市更新项目开发经验（提供与村集体股份合作公司签署的城市更新项目《合作开发协议书》，并提供城市更新项目的计划立项批复及专项规划批复文件）。</w:t>
            </w: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备注：竞投人使用控股母公司的开发资质、开发经验参与竞投的，竞投人中标后，其控股母公司应于招商方及7个自然村股份公司签订合作开发协议书时，出具书面担保函，同意对竞投人在合作开发协议书中的全部责任和义务向招商方及7个自然村股份公司承担连带担保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联合体投标</w:t>
            </w:r>
          </w:p>
        </w:tc>
        <w:tc>
          <w:tcPr>
            <w:tcW w:w="4587" w:type="dxa"/>
            <w:noWrap w:val="0"/>
            <w:vAlign w:val="center"/>
          </w:tcPr>
          <w:p>
            <w:pPr>
              <w:spacing w:line="400" w:lineRule="exact"/>
              <w:rPr>
                <w:rFonts w:hint="eastAsia" w:ascii="宋体" w:hAnsi="宋体" w:eastAsia="宋体" w:cs="宋体"/>
                <w:color w:val="000000"/>
                <w:sz w:val="24"/>
              </w:rPr>
            </w:pPr>
            <w:r>
              <w:rPr>
                <w:rFonts w:hint="eastAsia" w:ascii="宋体" w:hAnsi="宋体" w:eastAsia="宋体" w:cs="宋体"/>
                <w:color w:val="000000"/>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5</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踏勘现场</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6</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投标预备会</w:t>
            </w:r>
          </w:p>
        </w:tc>
        <w:tc>
          <w:tcPr>
            <w:tcW w:w="4587" w:type="dxa"/>
            <w:noWrap w:val="0"/>
            <w:vAlign w:val="center"/>
          </w:tcPr>
          <w:p>
            <w:pPr>
              <w:pStyle w:val="7"/>
              <w:topLinePunct/>
              <w:adjustRightInd w:val="0"/>
              <w:spacing w:line="400" w:lineRule="exact"/>
              <w:textAlignment w:val="baseline"/>
              <w:rPr>
                <w:rFonts w:hint="eastAsia" w:ascii="宋体" w:hAnsi="宋体" w:eastAsia="宋体" w:cs="宋体"/>
                <w:color w:val="000000"/>
                <w:szCs w:val="24"/>
                <w:lang w:val="en-US" w:eastAsia="zh-CN"/>
              </w:rPr>
            </w:pPr>
            <w:r>
              <w:rPr>
                <w:rFonts w:hint="eastAsia" w:ascii="宋体" w:hAnsi="宋体" w:eastAsia="宋体" w:cs="宋体"/>
                <w:color w:val="000000"/>
                <w:sz w:val="24"/>
                <w:szCs w:val="24"/>
                <w:lang w:val="en-US" w:eastAsia="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7</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构成</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的其他材料</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8</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投标人要求澄清</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的截止时间</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投标文件递交截止时间10日（日历日）前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9</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投标文件递交截止时间</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rPr>
              <w:t>详见交易公告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投标人确认收到</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澄清的时间</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rPr>
              <w:t>网站</w:t>
            </w:r>
            <w:r>
              <w:rPr>
                <w:rFonts w:hint="eastAsia" w:ascii="宋体" w:hAnsi="宋体" w:eastAsia="宋体" w:cs="宋体"/>
                <w:color w:val="000000"/>
                <w:sz w:val="24"/>
                <w:szCs w:val="24"/>
              </w:rPr>
              <w:t>上公布后视为已送达各投标人。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投标人确认收到</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修改的时间</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rPr>
              <w:t>网站</w:t>
            </w:r>
            <w:r>
              <w:rPr>
                <w:rFonts w:hint="eastAsia" w:ascii="宋体" w:hAnsi="宋体" w:eastAsia="宋体" w:cs="宋体"/>
                <w:kern w:val="0"/>
                <w:sz w:val="24"/>
                <w:szCs w:val="24"/>
              </w:rPr>
              <w:t>上公布后视为已送达</w:t>
            </w:r>
            <w:r>
              <w:rPr>
                <w:rFonts w:hint="eastAsia" w:ascii="宋体" w:hAnsi="宋体" w:eastAsia="宋体" w:cs="宋体"/>
                <w:color w:val="000000"/>
                <w:sz w:val="24"/>
                <w:szCs w:val="24"/>
              </w:rPr>
              <w:t>各投标人</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构成投标文件的其他材料</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评标过程中的澄清、说明。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13</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投标有效期</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120日（日历日）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14</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eastAsia="zh-CN"/>
              </w:rPr>
              <w:t>交易保证金</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金额：人民币</w:t>
            </w:r>
            <w:r>
              <w:rPr>
                <w:rFonts w:hint="eastAsia" w:ascii="宋体" w:hAnsi="宋体" w:eastAsia="宋体" w:cs="宋体"/>
                <w:color w:val="000000"/>
                <w:sz w:val="24"/>
                <w:szCs w:val="24"/>
                <w:u w:val="single"/>
                <w:lang w:eastAsia="zh-CN"/>
              </w:rPr>
              <w:t>伍仟</w:t>
            </w:r>
            <w:r>
              <w:rPr>
                <w:rFonts w:hint="eastAsia" w:ascii="宋体" w:hAnsi="宋体" w:eastAsia="宋体" w:cs="宋体"/>
                <w:color w:val="000000"/>
                <w:sz w:val="24"/>
                <w:szCs w:val="24"/>
                <w:u w:val="single"/>
              </w:rPr>
              <w:t>万元</w:t>
            </w:r>
            <w:r>
              <w:rPr>
                <w:rFonts w:hint="eastAsia" w:ascii="宋体" w:hAnsi="宋体" w:eastAsia="宋体" w:cs="宋体"/>
                <w:color w:val="000000"/>
                <w:sz w:val="24"/>
                <w:szCs w:val="24"/>
              </w:rPr>
              <w:t>整（</w:t>
            </w:r>
            <w:r>
              <w:rPr>
                <w:rFonts w:hint="eastAsia" w:ascii="宋体" w:hAnsi="宋体" w:eastAsia="宋体" w:cs="宋体"/>
                <w:bCs/>
                <w:sz w:val="24"/>
                <w:szCs w:val="24"/>
              </w:rPr>
              <w:t>¥</w:t>
            </w:r>
            <w:r>
              <w:rPr>
                <w:rFonts w:hint="eastAsia" w:ascii="宋体" w:hAnsi="宋体" w:eastAsia="宋体" w:cs="宋体"/>
                <w:color w:val="000000"/>
                <w:sz w:val="24"/>
                <w:szCs w:val="24"/>
                <w:lang w:val="en-US" w:eastAsia="zh-CN"/>
              </w:rPr>
              <w:t>50</w:t>
            </w:r>
            <w:r>
              <w:rPr>
                <w:rFonts w:hint="eastAsia" w:ascii="宋体" w:hAnsi="宋体" w:eastAsia="宋体" w:cs="宋体"/>
                <w:color w:val="000000"/>
                <w:sz w:val="24"/>
                <w:szCs w:val="24"/>
              </w:rPr>
              <w:t>,000,000.00元）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15</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是否允许递交备选投标人案</w:t>
            </w:r>
          </w:p>
        </w:tc>
        <w:tc>
          <w:tcPr>
            <w:tcW w:w="4587" w:type="dxa"/>
            <w:noWrap w:val="0"/>
            <w:vAlign w:val="center"/>
          </w:tcPr>
          <w:p>
            <w:pPr>
              <w:pStyle w:val="7"/>
              <w:topLinePunct/>
              <w:adjustRightInd w:val="0"/>
              <w:spacing w:line="400" w:lineRule="exact"/>
              <w:textAlignment w:val="baseline"/>
              <w:rPr>
                <w:rFonts w:hint="eastAsia" w:ascii="宋体" w:hAnsi="宋体" w:eastAsia="宋体" w:cs="宋体"/>
                <w:color w:val="000000"/>
                <w:szCs w:val="24"/>
                <w:lang w:val="en-US" w:eastAsia="zh-CN"/>
              </w:rPr>
            </w:pPr>
            <w:r>
              <w:rPr>
                <w:rFonts w:hint="eastAsia" w:ascii="宋体" w:hAnsi="宋体" w:eastAsia="宋体" w:cs="宋体"/>
                <w:color w:val="000000"/>
                <w:sz w:val="24"/>
                <w:szCs w:val="24"/>
                <w:lang w:val="en-US" w:eastAsia="zh-CN"/>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签字或盖章要求</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u w:val="single"/>
              </w:rPr>
            </w:pPr>
            <w:r>
              <w:rPr>
                <w:rFonts w:hint="eastAsia" w:ascii="宋体" w:hAnsi="宋体" w:eastAsia="宋体" w:cs="宋体"/>
                <w:color w:val="000000"/>
                <w:sz w:val="24"/>
                <w:szCs w:val="24"/>
                <w:u w:val="single"/>
              </w:rPr>
              <w:t>单位章指投标人经备案的公章，不得采用“投标专用章”、“业务专用章”、“合同专用章”等替代。</w:t>
            </w:r>
            <w:r>
              <w:rPr>
                <w:rFonts w:hint="eastAsia" w:ascii="宋体" w:hAnsi="宋体" w:cs="宋体"/>
                <w:color w:val="000000"/>
                <w:sz w:val="24"/>
                <w:szCs w:val="24"/>
                <w:u w:val="single"/>
                <w:lang w:eastAsia="zh-CN"/>
              </w:rPr>
              <w:t>招标文件</w:t>
            </w:r>
            <w:r>
              <w:rPr>
                <w:rFonts w:hint="eastAsia" w:ascii="宋体" w:hAnsi="宋体" w:eastAsia="宋体" w:cs="宋体"/>
                <w:color w:val="000000"/>
                <w:sz w:val="24"/>
                <w:szCs w:val="24"/>
                <w:u w:val="single"/>
              </w:rPr>
              <w:t>经法定代表人或其委托代理人签字并加盖公章，委托代理人签字人具有法定代表人有效授权。除投标文件格式中明确写明“盖单位章”处外，还应加盖骑缝章。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16</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投标文件份数</w:t>
            </w:r>
          </w:p>
        </w:tc>
        <w:tc>
          <w:tcPr>
            <w:tcW w:w="4587" w:type="dxa"/>
            <w:noWrap w:val="0"/>
            <w:vAlign w:val="center"/>
          </w:tcPr>
          <w:p>
            <w:pPr>
              <w:adjustRightInd w:val="0"/>
              <w:spacing w:line="440" w:lineRule="exact"/>
              <w:ind w:firstLine="0" w:firstLineChars="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（1）投标文件正本1份，副本6份；</w:t>
            </w:r>
          </w:p>
          <w:p>
            <w:pPr>
              <w:adjustRightInd w:val="0"/>
              <w:spacing w:line="440" w:lineRule="exact"/>
              <w:ind w:firstLine="0" w:firstLineChars="0"/>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（2）投标文件备份光盘（或U盘）1张（个）。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17</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装订要求</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胶装，不得用活页方式装订。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18</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封装要求</w:t>
            </w:r>
          </w:p>
        </w:tc>
        <w:tc>
          <w:tcPr>
            <w:tcW w:w="4587" w:type="dxa"/>
            <w:noWrap w:val="0"/>
            <w:vAlign w:val="center"/>
          </w:tcPr>
          <w:p>
            <w:pPr>
              <w:pStyle w:val="7"/>
              <w:topLinePunct/>
              <w:spacing w:line="40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（1）投标文件正本和副本、投标文件备份光盘（或U盘）（一起密封）；</w:t>
            </w:r>
          </w:p>
          <w:p>
            <w:pPr>
              <w:pStyle w:val="7"/>
              <w:topLinePunct/>
              <w:spacing w:line="40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（2）封套上写明：</w:t>
            </w:r>
          </w:p>
          <w:p>
            <w:pPr>
              <w:pStyle w:val="7"/>
              <w:topLinePunct/>
              <w:spacing w:line="40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招标人：深圳市新南股份合作公司</w:t>
            </w:r>
          </w:p>
          <w:p>
            <w:pPr>
              <w:pStyle w:val="7"/>
              <w:topLinePunct/>
              <w:spacing w:line="40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u w:val="single"/>
                <w:lang w:val="en-US" w:eastAsia="zh-CN"/>
              </w:rPr>
              <w:t>深圳市龙岗区平湖街道凤凰工业园城市更新项目</w:t>
            </w:r>
            <w:r>
              <w:rPr>
                <w:rFonts w:hint="eastAsia" w:ascii="宋体" w:hAnsi="宋体" w:eastAsia="宋体" w:cs="宋体"/>
                <w:color w:val="000000"/>
                <w:sz w:val="24"/>
                <w:szCs w:val="24"/>
                <w:lang w:val="en-US" w:eastAsia="zh-CN"/>
              </w:rPr>
              <w:t>投标文件</w:t>
            </w:r>
          </w:p>
          <w:p>
            <w:pPr>
              <w:pStyle w:val="7"/>
              <w:topLinePunct/>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rPr>
              <w:t>在</w:t>
            </w:r>
            <w:r>
              <w:rPr>
                <w:rFonts w:hint="eastAsia" w:ascii="宋体" w:hAnsi="宋体" w:eastAsia="宋体" w:cs="宋体"/>
                <w:color w:val="000000"/>
                <w:sz w:val="24"/>
              </w:rPr>
              <w:t>开标时间</w:t>
            </w:r>
            <w:r>
              <w:rPr>
                <w:rFonts w:hint="eastAsia" w:ascii="宋体" w:hAnsi="宋体" w:eastAsia="宋体" w:cs="宋体"/>
                <w:color w:val="000000"/>
                <w:sz w:val="24"/>
                <w:szCs w:val="24"/>
              </w:rPr>
              <w:t>前不得开启(具体时间详见交易公告)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19</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递交投标文件地点</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rPr>
              <w:t>详见交易公告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20</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是否退还投标文件</w:t>
            </w:r>
          </w:p>
        </w:tc>
        <w:tc>
          <w:tcPr>
            <w:tcW w:w="4587" w:type="dxa"/>
            <w:noWrap w:val="0"/>
            <w:vAlign w:val="center"/>
          </w:tcPr>
          <w:p>
            <w:pPr>
              <w:pStyle w:val="7"/>
              <w:topLinePunct/>
              <w:adjustRightInd w:val="0"/>
              <w:spacing w:line="400" w:lineRule="exact"/>
              <w:textAlignment w:val="baseline"/>
              <w:rPr>
                <w:rFonts w:hint="eastAsia" w:ascii="宋体" w:hAnsi="宋体" w:eastAsia="宋体" w:cs="宋体"/>
                <w:color w:val="000000"/>
                <w:szCs w:val="24"/>
                <w:lang w:val="en-US" w:eastAsia="zh-CN"/>
              </w:rPr>
            </w:pPr>
            <w:r>
              <w:rPr>
                <w:rFonts w:hint="eastAsia" w:ascii="宋体" w:hAnsi="宋体" w:eastAsia="宋体" w:cs="宋体"/>
                <w:color w:val="000000"/>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21</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评标委员会的组建</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评标委员会构成：</w:t>
            </w:r>
            <w:r>
              <w:rPr>
                <w:rFonts w:hint="eastAsia" w:ascii="宋体" w:hAnsi="宋体" w:eastAsia="宋体" w:cs="宋体"/>
                <w:color w:val="000000"/>
                <w:sz w:val="24"/>
                <w:szCs w:val="24"/>
                <w:u w:val="single"/>
                <w:lang w:val="en-US" w:eastAsia="zh-CN"/>
              </w:rPr>
              <w:t xml:space="preserve"> 7 </w:t>
            </w:r>
            <w:r>
              <w:rPr>
                <w:rFonts w:hint="eastAsia" w:ascii="宋体" w:hAnsi="宋体" w:eastAsia="宋体" w:cs="宋体"/>
                <w:color w:val="000000"/>
                <w:sz w:val="24"/>
                <w:szCs w:val="24"/>
              </w:rPr>
              <w:t>人 (人数为不少于5人的单数)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22</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评标顾问委员会的组建</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不组建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23</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开标时间和地点</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开标时间：</w:t>
            </w:r>
            <w:r>
              <w:rPr>
                <w:rFonts w:hint="eastAsia" w:ascii="宋体" w:hAnsi="宋体" w:eastAsia="宋体" w:cs="宋体"/>
                <w:color w:val="000000"/>
                <w:sz w:val="24"/>
              </w:rPr>
              <w:t>详见交易公告</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开标地点：</w:t>
            </w:r>
            <w:r>
              <w:rPr>
                <w:rFonts w:hint="eastAsia" w:ascii="宋体" w:hAnsi="宋体" w:eastAsia="宋体" w:cs="宋体"/>
                <w:color w:val="000000"/>
                <w:sz w:val="24"/>
              </w:rPr>
              <w:t>详见交易公告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24</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开标程序</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密封情况检查：</w:t>
            </w:r>
            <w:r>
              <w:rPr>
                <w:rFonts w:hint="eastAsia" w:ascii="宋体" w:hAnsi="宋体" w:eastAsia="宋体" w:cs="宋体"/>
                <w:color w:val="000000"/>
                <w:sz w:val="24"/>
              </w:rPr>
              <w:t>投标人代表检查</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开标顺序：按投标人签到顺序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26</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本项目采用的评标方法</w:t>
            </w:r>
          </w:p>
        </w:tc>
        <w:tc>
          <w:tcPr>
            <w:tcW w:w="4587" w:type="dxa"/>
            <w:noWrap w:val="0"/>
            <w:vAlign w:val="center"/>
          </w:tcPr>
          <w:p>
            <w:pPr>
              <w:adjustRightInd w:val="0"/>
              <w:spacing w:line="440" w:lineRule="exact"/>
              <w:textAlignment w:val="baseline"/>
              <w:rPr>
                <w:rFonts w:hint="eastAsia" w:ascii="宋体" w:hAnsi="宋体" w:eastAsia="宋体" w:cs="宋体"/>
                <w:b/>
                <w:color w:val="FF0000"/>
                <w:sz w:val="24"/>
                <w:szCs w:val="24"/>
                <w:lang w:eastAsia="zh-CN"/>
              </w:rPr>
            </w:pPr>
            <w:r>
              <w:rPr>
                <w:rFonts w:hint="eastAsia" w:ascii="宋体" w:hAnsi="宋体" w:eastAsia="宋体" w:cs="宋体"/>
                <w:bCs/>
                <w:sz w:val="24"/>
                <w:szCs w:val="24"/>
                <w:lang w:eastAsia="zh-CN"/>
              </w:rPr>
              <w:t>综合评审法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27</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本项目评标委员会推荐的中标候选人数量</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28</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是否评定分离</w:t>
            </w:r>
          </w:p>
        </w:tc>
        <w:tc>
          <w:tcPr>
            <w:tcW w:w="4587" w:type="dxa"/>
            <w:noWrap w:val="0"/>
            <w:vAlign w:val="center"/>
          </w:tcPr>
          <w:p>
            <w:pPr>
              <w:adjustRightInd w:val="0"/>
              <w:spacing w:line="440" w:lineRule="exact"/>
              <w:textAlignment w:val="baseline"/>
              <w:rPr>
                <w:rFonts w:hint="eastAsia" w:ascii="宋体" w:hAnsi="宋体" w:eastAsia="宋体" w:cs="宋体"/>
                <w:b/>
                <w:color w:val="FF0000"/>
                <w:sz w:val="24"/>
                <w:szCs w:val="24"/>
              </w:rPr>
            </w:pPr>
            <w:r>
              <w:rPr>
                <w:rFonts w:hint="eastAsia" w:ascii="宋体" w:hAnsi="宋体" w:eastAsia="宋体" w:cs="宋体"/>
                <w:bCs/>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 w:type="dxa"/>
            <w:noWrap w:val="0"/>
            <w:vAlign w:val="center"/>
          </w:tcPr>
          <w:p>
            <w:pPr>
              <w:adjustRightInd w:val="0"/>
              <w:spacing w:line="440" w:lineRule="exact"/>
              <w:jc w:val="center"/>
              <w:textAlignment w:val="baseline"/>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29</w:t>
            </w:r>
          </w:p>
        </w:tc>
        <w:tc>
          <w:tcPr>
            <w:tcW w:w="3135" w:type="dxa"/>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履约保证金</w:t>
            </w:r>
          </w:p>
        </w:tc>
        <w:tc>
          <w:tcPr>
            <w:tcW w:w="4587" w:type="dxa"/>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人民币</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 80000000 \* CHINESENUM2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eastAsia="zh-CN"/>
              </w:rPr>
              <w:t>伍</w:t>
            </w:r>
            <w:r>
              <w:rPr>
                <w:rFonts w:hint="eastAsia" w:ascii="宋体" w:hAnsi="宋体" w:eastAsia="宋体" w:cs="宋体"/>
                <w:b/>
                <w:bCs/>
                <w:sz w:val="24"/>
                <w:szCs w:val="24"/>
              </w:rPr>
              <w:t>仟万</w:t>
            </w:r>
            <w:r>
              <w:rPr>
                <w:rFonts w:hint="eastAsia" w:ascii="宋体" w:hAnsi="宋体" w:eastAsia="宋体" w:cs="宋体"/>
                <w:b/>
                <w:bCs/>
                <w:sz w:val="24"/>
                <w:szCs w:val="24"/>
              </w:rPr>
              <w:fldChar w:fldCharType="end"/>
            </w:r>
            <w:r>
              <w:rPr>
                <w:rFonts w:hint="eastAsia" w:ascii="宋体" w:hAnsi="宋体" w:eastAsia="宋体" w:cs="宋体"/>
                <w:bCs/>
                <w:sz w:val="24"/>
                <w:szCs w:val="24"/>
              </w:rPr>
              <w:t>元整（¥</w:t>
            </w:r>
            <w:r>
              <w:rPr>
                <w:rFonts w:hint="eastAsia" w:ascii="宋体" w:hAnsi="宋体" w:eastAsia="宋体" w:cs="宋体"/>
                <w:bCs/>
                <w:sz w:val="24"/>
                <w:szCs w:val="24"/>
                <w:lang w:val="en-US" w:eastAsia="zh-CN"/>
              </w:rPr>
              <w:t>5</w:t>
            </w:r>
            <w:r>
              <w:rPr>
                <w:rFonts w:hint="eastAsia" w:ascii="宋体" w:hAnsi="宋体" w:eastAsia="宋体" w:cs="宋体"/>
                <w:bCs/>
                <w:sz w:val="24"/>
                <w:szCs w:val="24"/>
              </w:rPr>
              <w:t>0,000,000.00元）</w:t>
            </w:r>
          </w:p>
        </w:tc>
      </w:tr>
    </w:tbl>
    <w:p>
      <w:pPr>
        <w:spacing w:line="400" w:lineRule="exact"/>
        <w:jc w:val="center"/>
        <w:rPr>
          <w:rFonts w:hint="eastAsia" w:ascii="宋体" w:hAnsi="宋体" w:eastAsia="宋体" w:cs="宋体"/>
          <w:color w:val="000000"/>
        </w:rPr>
      </w:pPr>
    </w:p>
    <w:p>
      <w:pPr>
        <w:spacing w:line="400" w:lineRule="exact"/>
        <w:jc w:val="center"/>
        <w:rPr>
          <w:rFonts w:hint="eastAsia" w:ascii="宋体" w:hAnsi="宋体" w:eastAsia="宋体" w:cs="宋体"/>
          <w:color w:val="000000"/>
        </w:rPr>
      </w:pPr>
      <w:r>
        <w:rPr>
          <w:rFonts w:hint="eastAsia" w:ascii="宋体" w:hAnsi="宋体" w:eastAsia="宋体" w:cs="宋体"/>
          <w:color w:val="000000"/>
        </w:rPr>
        <w:br w:type="page"/>
      </w:r>
    </w:p>
    <w:p>
      <w:pPr>
        <w:spacing w:line="400" w:lineRule="exact"/>
        <w:jc w:val="center"/>
        <w:rPr>
          <w:rFonts w:hint="eastAsia" w:ascii="宋体" w:hAnsi="宋体" w:eastAsia="宋体" w:cs="宋体"/>
          <w:color w:val="000000"/>
          <w:sz w:val="28"/>
          <w:szCs w:val="28"/>
        </w:rPr>
      </w:pPr>
      <w:r>
        <w:rPr>
          <w:rFonts w:hint="eastAsia" w:ascii="宋体" w:hAnsi="宋体" w:eastAsia="宋体" w:cs="宋体"/>
          <w:color w:val="000000"/>
          <w:sz w:val="28"/>
          <w:szCs w:val="28"/>
        </w:rPr>
        <w:t>评标办法前附表</w:t>
      </w:r>
    </w:p>
    <w:p>
      <w:pPr>
        <w:pStyle w:val="16"/>
        <w:keepNext w:val="0"/>
        <w:keepLines w:val="0"/>
        <w:outlineLvl w:val="9"/>
        <w:rPr>
          <w:rFonts w:hint="eastAsia" w:ascii="宋体" w:hAnsi="宋体" w:eastAsia="宋体" w:cs="宋体"/>
          <w:color w:val="000000"/>
        </w:rPr>
      </w:pPr>
      <w:bookmarkStart w:id="8" w:name="_Toc144974555"/>
      <w:bookmarkStart w:id="9" w:name="_Toc152045588"/>
      <w:bookmarkStart w:id="10" w:name="_Toc152042365"/>
      <w:r>
        <w:rPr>
          <w:rFonts w:hint="eastAsia" w:ascii="宋体" w:hAnsi="宋体" w:eastAsia="宋体" w:cs="宋体"/>
          <w:color w:val="000000"/>
        </w:rPr>
        <w:t>表1.</w:t>
      </w:r>
      <w:bookmarkEnd w:id="8"/>
      <w:bookmarkEnd w:id="9"/>
      <w:bookmarkEnd w:id="10"/>
      <w:r>
        <w:rPr>
          <w:rFonts w:hint="eastAsia" w:ascii="宋体" w:hAnsi="宋体" w:eastAsia="宋体" w:cs="宋体"/>
          <w:color w:val="000000"/>
        </w:rPr>
        <w:t xml:space="preserve"> 审查标准</w:t>
      </w:r>
    </w:p>
    <w:tbl>
      <w:tblPr>
        <w:tblStyle w:val="12"/>
        <w:tblW w:w="923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1"/>
        <w:gridCol w:w="1094"/>
        <w:gridCol w:w="2090"/>
        <w:gridCol w:w="53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835" w:type="dxa"/>
            <w:gridSpan w:val="2"/>
            <w:tcBorders>
              <w:top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b/>
                <w:color w:val="000000"/>
                <w:sz w:val="24"/>
                <w:szCs w:val="24"/>
                <w:lang w:eastAsia="zh-CN"/>
              </w:rPr>
            </w:pPr>
            <w:r>
              <w:rPr>
                <w:rFonts w:hint="eastAsia" w:ascii="宋体" w:hAnsi="宋体" w:eastAsia="宋体" w:cs="宋体"/>
                <w:b/>
                <w:color w:val="000000"/>
                <w:sz w:val="24"/>
                <w:szCs w:val="24"/>
                <w:lang w:eastAsia="zh-CN"/>
              </w:rPr>
              <w:t>序号</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评审因素</w:t>
            </w:r>
          </w:p>
        </w:tc>
        <w:tc>
          <w:tcPr>
            <w:tcW w:w="53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b/>
                <w:color w:val="000000"/>
                <w:sz w:val="24"/>
                <w:szCs w:val="24"/>
              </w:rPr>
            </w:pPr>
            <w:r>
              <w:rPr>
                <w:rFonts w:hint="eastAsia" w:ascii="宋体" w:hAnsi="宋体" w:eastAsia="宋体" w:cs="宋体"/>
                <w:b/>
                <w:color w:val="000000"/>
                <w:sz w:val="24"/>
                <w:szCs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1" w:type="dxa"/>
            <w:vMerge w:val="restart"/>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2</w:t>
            </w:r>
          </w:p>
        </w:tc>
        <w:tc>
          <w:tcPr>
            <w:tcW w:w="1094" w:type="dxa"/>
            <w:vMerge w:val="restart"/>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符合性</w:t>
            </w:r>
          </w:p>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审查</w:t>
            </w:r>
          </w:p>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标准</w:t>
            </w:r>
          </w:p>
        </w:tc>
        <w:tc>
          <w:tcPr>
            <w:tcW w:w="20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投标人名称</w:t>
            </w:r>
          </w:p>
        </w:tc>
        <w:tc>
          <w:tcPr>
            <w:tcW w:w="53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1"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1094"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投标文件有效性</w:t>
            </w:r>
          </w:p>
        </w:tc>
        <w:tc>
          <w:tcPr>
            <w:tcW w:w="53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rPr>
              <w:t>（1）法定代表人签署文件的，投标文件中须有法定代表人证明书；法定代表人授权其他人代理签署文件的，投标文件中须有法定代表人证明书及法定代表人授权委托书</w:t>
            </w:r>
            <w:r>
              <w:rPr>
                <w:rFonts w:hint="eastAsia" w:ascii="宋体" w:hAnsi="宋体" w:eastAsia="宋体" w:cs="宋体"/>
                <w:b/>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1"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1094"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投标文件数量</w:t>
            </w:r>
          </w:p>
        </w:tc>
        <w:tc>
          <w:tcPr>
            <w:tcW w:w="53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rPr>
              <w:t>投标文件正本1份，副本6份；</w:t>
            </w:r>
            <w:r>
              <w:rPr>
                <w:rFonts w:hint="eastAsia" w:ascii="宋体" w:hAnsi="宋体" w:eastAsia="宋体" w:cs="宋体"/>
                <w:color w:val="000000"/>
                <w:sz w:val="24"/>
                <w:szCs w:val="24"/>
              </w:rPr>
              <w:t>投标文件备份光盘（或U盘）1张（个）</w:t>
            </w:r>
            <w:r>
              <w:rPr>
                <w:rFonts w:hint="eastAsia" w:ascii="宋体" w:hAnsi="宋体" w:eastAsia="宋体" w:cs="宋体"/>
                <w:color w:val="00000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1"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1094"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签字盖章</w:t>
            </w:r>
          </w:p>
        </w:tc>
        <w:tc>
          <w:tcPr>
            <w:tcW w:w="53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经法定代表人或其委托代理人签字并加盖公章。除投标文件格式中明确写明“盖单位章”处外，还应加盖骑缝章。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1"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1094"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投标文件密封</w:t>
            </w:r>
          </w:p>
        </w:tc>
        <w:tc>
          <w:tcPr>
            <w:tcW w:w="53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符合投标人须知规定。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41"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1094" w:type="dxa"/>
            <w:vMerge w:val="continue"/>
            <w:tcBorders>
              <w:top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p>
        </w:tc>
        <w:tc>
          <w:tcPr>
            <w:tcW w:w="2090"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jc w:val="center"/>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投标报价</w:t>
            </w:r>
          </w:p>
        </w:tc>
        <w:tc>
          <w:tcPr>
            <w:tcW w:w="5309" w:type="dxa"/>
            <w:tcBorders>
              <w:top w:val="single" w:color="auto" w:sz="4" w:space="0"/>
              <w:left w:val="single" w:color="auto" w:sz="4" w:space="0"/>
              <w:bottom w:val="single" w:color="auto" w:sz="4" w:space="0"/>
              <w:right w:val="single" w:color="auto" w:sz="4" w:space="0"/>
            </w:tcBorders>
            <w:noWrap w:val="0"/>
            <w:vAlign w:val="center"/>
          </w:tcPr>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cs="宋体"/>
                <w:color w:val="000000"/>
                <w:sz w:val="24"/>
                <w:szCs w:val="24"/>
                <w:lang w:val="en-US" w:eastAsia="zh-CN"/>
              </w:rPr>
              <w:t>不低于招商底价</w:t>
            </w:r>
            <w:r>
              <w:rPr>
                <w:rFonts w:hint="eastAsia" w:ascii="宋体" w:hAnsi="宋体" w:eastAsia="宋体" w:cs="宋体"/>
                <w:color w:val="000000"/>
                <w:sz w:val="24"/>
                <w:szCs w:val="24"/>
              </w:rPr>
              <w:t>。</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（2）只能有一个有效报价。</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（3）投标报价不得有缺漏项。</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（4）投标报价应为固定值，不得有价格调整要求。</w:t>
            </w:r>
          </w:p>
          <w:p>
            <w:pPr>
              <w:adjustRightInd w:val="0"/>
              <w:spacing w:line="440" w:lineRule="exac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rPr>
              <w:t>（5）</w:t>
            </w:r>
            <w:r>
              <w:rPr>
                <w:rFonts w:hint="eastAsia" w:ascii="宋体" w:hAnsi="宋体" w:eastAsia="宋体" w:cs="宋体"/>
                <w:color w:val="000000"/>
                <w:sz w:val="24"/>
              </w:rPr>
              <w:t>置换后物业</w:t>
            </w:r>
            <w:r>
              <w:rPr>
                <w:rFonts w:hint="eastAsia" w:ascii="宋体" w:hAnsi="宋体" w:eastAsia="宋体" w:cs="宋体"/>
                <w:color w:val="000000"/>
                <w:sz w:val="24"/>
                <w:lang w:eastAsia="zh-CN"/>
              </w:rPr>
              <w:t>面积</w:t>
            </w:r>
            <w:r>
              <w:rPr>
                <w:rFonts w:hint="eastAsia" w:ascii="宋体" w:hAnsi="宋体" w:eastAsia="宋体" w:cs="宋体"/>
                <w:color w:val="000000"/>
                <w:sz w:val="24"/>
              </w:rPr>
              <w:t>及货币补偿额作为投标人投标报价。</w:t>
            </w:r>
          </w:p>
        </w:tc>
      </w:tr>
    </w:tbl>
    <w:p>
      <w:pPr>
        <w:rPr>
          <w:rFonts w:hint="eastAsia" w:ascii="宋体" w:hAnsi="宋体" w:eastAsia="宋体" w:cs="宋体"/>
          <w:color w:val="000000"/>
        </w:rPr>
      </w:pPr>
    </w:p>
    <w:p>
      <w:pPr>
        <w:pStyle w:val="16"/>
        <w:keepNext w:val="0"/>
        <w:keepLines w:val="0"/>
        <w:outlineLvl w:val="9"/>
        <w:rPr>
          <w:rFonts w:hint="eastAsia" w:ascii="宋体" w:hAnsi="宋体" w:eastAsia="宋体" w:cs="宋体"/>
          <w:color w:val="000000"/>
        </w:rPr>
      </w:pPr>
      <w:bookmarkStart w:id="11" w:name="_Toc428896417"/>
      <w:r>
        <w:rPr>
          <w:rFonts w:hint="eastAsia" w:ascii="宋体" w:hAnsi="宋体" w:eastAsia="宋体" w:cs="宋体"/>
          <w:color w:val="000000"/>
        </w:rPr>
        <w:t>表2. 详细评审标准</w:t>
      </w:r>
    </w:p>
    <w:p>
      <w:pPr>
        <w:pStyle w:val="16"/>
        <w:keepNext w:val="0"/>
        <w:keepLines w:val="0"/>
        <w:jc w:val="center"/>
        <w:outlineLvl w:val="9"/>
        <w:rPr>
          <w:rFonts w:hint="eastAsia" w:ascii="宋体" w:hAnsi="宋体" w:eastAsia="宋体" w:cs="宋体"/>
          <w:color w:val="000000"/>
          <w:szCs w:val="21"/>
        </w:rPr>
      </w:pPr>
      <w:r>
        <w:rPr>
          <w:rFonts w:hint="eastAsia" w:ascii="宋体" w:hAnsi="宋体" w:eastAsia="宋体" w:cs="宋体"/>
          <w:color w:val="000000"/>
        </w:rPr>
        <w:t>综合评分因素及标准</w:t>
      </w:r>
      <w:bookmarkEnd w:id="11"/>
    </w:p>
    <w:p>
      <w:pPr>
        <w:spacing w:line="400" w:lineRule="exact"/>
        <w:jc w:val="left"/>
        <w:rPr>
          <w:rFonts w:hint="eastAsia" w:ascii="宋体" w:hAnsi="宋体" w:eastAsia="宋体" w:cs="宋体"/>
          <w:color w:val="000000"/>
          <w:szCs w:val="21"/>
        </w:rPr>
      </w:pPr>
    </w:p>
    <w:tbl>
      <w:tblPr>
        <w:tblStyle w:val="12"/>
        <w:tblW w:w="9246" w:type="dxa"/>
        <w:jc w:val="center"/>
        <w:tblLayout w:type="fixed"/>
        <w:tblCellMar>
          <w:top w:w="0" w:type="dxa"/>
          <w:left w:w="0" w:type="dxa"/>
          <w:bottom w:w="0" w:type="dxa"/>
          <w:right w:w="0" w:type="dxa"/>
        </w:tblCellMar>
      </w:tblPr>
      <w:tblGrid>
        <w:gridCol w:w="658"/>
        <w:gridCol w:w="822"/>
        <w:gridCol w:w="806"/>
        <w:gridCol w:w="615"/>
        <w:gridCol w:w="6345"/>
      </w:tblGrid>
      <w:tr>
        <w:tblPrEx>
          <w:tblCellMar>
            <w:top w:w="0" w:type="dxa"/>
            <w:left w:w="0" w:type="dxa"/>
            <w:bottom w:w="0" w:type="dxa"/>
            <w:right w:w="0" w:type="dxa"/>
          </w:tblCellMar>
        </w:tblPrEx>
        <w:trPr>
          <w:trHeight w:val="670" w:hRule="atLeast"/>
          <w:jc w:val="center"/>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628"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评分因素</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分值</w:t>
            </w:r>
          </w:p>
        </w:tc>
        <w:tc>
          <w:tcPr>
            <w:tcW w:w="6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评分标准说明</w:t>
            </w:r>
          </w:p>
        </w:tc>
      </w:tr>
      <w:tr>
        <w:tblPrEx>
          <w:tblCellMar>
            <w:top w:w="0" w:type="dxa"/>
            <w:left w:w="0" w:type="dxa"/>
            <w:bottom w:w="0" w:type="dxa"/>
            <w:right w:w="0" w:type="dxa"/>
          </w:tblCellMar>
        </w:tblPrEx>
        <w:trPr>
          <w:trHeight w:val="1874"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资信与实力部分</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（40分）</w:t>
            </w: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企业净资产</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评分内容：</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竞投人净资产规模在10亿元的基础上每增加</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000万元得1.5分（不足</w:t>
            </w:r>
            <w:r>
              <w:rPr>
                <w:rFonts w:hint="eastAsia" w:ascii="宋体" w:hAnsi="宋体" w:cs="宋体"/>
                <w:i w:val="0"/>
                <w:color w:val="000000"/>
                <w:kern w:val="0"/>
                <w:sz w:val="24"/>
                <w:szCs w:val="24"/>
                <w:u w:val="none"/>
                <w:lang w:val="en-US" w:eastAsia="zh-CN" w:bidi="ar"/>
              </w:rPr>
              <w:t>3</w:t>
            </w:r>
            <w:r>
              <w:rPr>
                <w:rFonts w:hint="eastAsia" w:ascii="宋体" w:hAnsi="宋体" w:eastAsia="宋体" w:cs="宋体"/>
                <w:i w:val="0"/>
                <w:color w:val="000000"/>
                <w:kern w:val="0"/>
                <w:sz w:val="24"/>
                <w:szCs w:val="24"/>
                <w:u w:val="none"/>
                <w:lang w:val="en-US" w:eastAsia="zh-CN" w:bidi="ar"/>
              </w:rPr>
              <w:t>000万元部分，不得分），最高得</w:t>
            </w:r>
            <w:r>
              <w:rPr>
                <w:rFonts w:hint="eastAsia" w:ascii="宋体" w:hAnsi="宋体" w:eastAsia="宋体" w:cs="宋体"/>
                <w:i w:val="0"/>
                <w:color w:val="000000"/>
                <w:kern w:val="0"/>
                <w:sz w:val="24"/>
                <w:szCs w:val="24"/>
                <w:highlight w:val="none"/>
                <w:u w:val="none"/>
                <w:lang w:val="en-US" w:eastAsia="zh-CN" w:bidi="ar"/>
              </w:rPr>
              <w:t>15</w:t>
            </w:r>
            <w:r>
              <w:rPr>
                <w:rFonts w:hint="eastAsia" w:ascii="宋体" w:hAnsi="宋体" w:eastAsia="宋体" w:cs="宋体"/>
                <w:i w:val="0"/>
                <w:color w:val="000000"/>
                <w:kern w:val="0"/>
                <w:sz w:val="24"/>
                <w:szCs w:val="24"/>
                <w:u w:val="none"/>
                <w:lang w:val="en-US" w:eastAsia="zh-CN" w:bidi="ar"/>
              </w:rPr>
              <w:t>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评分依据：</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提供竞投人2021年年度审计报告或2022年上半年度审计报告</w:t>
            </w:r>
          </w:p>
        </w:tc>
      </w:tr>
      <w:tr>
        <w:tblPrEx>
          <w:tblCellMar>
            <w:top w:w="0" w:type="dxa"/>
            <w:left w:w="0" w:type="dxa"/>
            <w:bottom w:w="0" w:type="dxa"/>
            <w:right w:w="0" w:type="dxa"/>
          </w:tblCellMar>
        </w:tblPrEx>
        <w:trPr>
          <w:trHeight w:val="1716"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企业负债率</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评分内容：</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竞投人资产负债率在50%基础上每降低1%得1.5分（不足1%部分，不得分），本项最高得10分。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评分依据：</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提供竞投人2021年年度审计报告或2022年上半年度审计报告</w:t>
            </w:r>
          </w:p>
        </w:tc>
      </w:tr>
      <w:tr>
        <w:tblPrEx>
          <w:tblCellMar>
            <w:top w:w="0" w:type="dxa"/>
            <w:left w:w="0" w:type="dxa"/>
            <w:bottom w:w="0" w:type="dxa"/>
            <w:right w:w="0" w:type="dxa"/>
          </w:tblCellMar>
        </w:tblPrEx>
        <w:trPr>
          <w:trHeight w:val="3642"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开发项目经验</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评分内容：</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对竞投人或其控股母公司（包括其控股母公司直接持股50%以上的子公司）在深圳市范围内已完成竣工验收的房地产开发项目建筑面积（含不计容建筑面积）达到50万平方米的基础上，建筑面积每增加</w:t>
            </w:r>
            <w:r>
              <w:rPr>
                <w:rFonts w:hint="eastAsia" w:ascii="宋体" w:hAnsi="宋体" w:eastAsia="宋体" w:cs="宋体"/>
                <w:i w:val="0"/>
                <w:color w:val="000000"/>
                <w:kern w:val="0"/>
                <w:sz w:val="24"/>
                <w:szCs w:val="24"/>
                <w:highlight w:val="none"/>
                <w:u w:val="none"/>
                <w:lang w:val="en-US" w:eastAsia="zh-CN" w:bidi="ar"/>
              </w:rPr>
              <w:t>5万平方米的</w:t>
            </w:r>
            <w:r>
              <w:rPr>
                <w:rFonts w:hint="eastAsia" w:ascii="宋体" w:hAnsi="宋体" w:eastAsia="宋体" w:cs="宋体"/>
                <w:i w:val="0"/>
                <w:color w:val="000000"/>
                <w:kern w:val="0"/>
                <w:sz w:val="24"/>
                <w:szCs w:val="24"/>
                <w:u w:val="none"/>
                <w:lang w:val="en-US" w:eastAsia="zh-CN" w:bidi="ar"/>
              </w:rPr>
              <w:t>加3分（不足5万平方米部分，不得分），本项最多得15分。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评分依据：</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竞投人或其控股母公司（包括其控股母公司直接持股50%以上的子公司）已完成项目的《深圳市建设工程规划验收合格证》，合作开发的项目，验收合格证上须明确载明竞投人或其控股母公司（包括其控股母公司直接持股50%以上的子公司）的名称。</w:t>
            </w:r>
          </w:p>
        </w:tc>
      </w:tr>
      <w:tr>
        <w:tblPrEx>
          <w:tblCellMar>
            <w:top w:w="0" w:type="dxa"/>
            <w:left w:w="0" w:type="dxa"/>
            <w:bottom w:w="0" w:type="dxa"/>
            <w:right w:w="0" w:type="dxa"/>
          </w:tblCellMar>
        </w:tblPrEx>
        <w:trPr>
          <w:trHeight w:val="2135"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2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技术评分（24分）</w:t>
            </w: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拆迁补偿进度</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评分内容：</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竞投人承诺在签订合作开发协议之日起90天内完成项目范围应拆迁房屋建筑面积的80%拆迁安置补偿协议签订，在此基础上承诺每提前3天完成的加1分（不足3天部分，不得分），本项最多得10分，承诺完成时间超过90天的为无效响应，不得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评分依据：</w:t>
            </w:r>
          </w:p>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提供盖有公章的承诺</w:t>
            </w:r>
            <w:r>
              <w:rPr>
                <w:rFonts w:hint="eastAsia" w:ascii="宋体" w:hAnsi="宋体" w:cs="宋体"/>
                <w:i w:val="0"/>
                <w:color w:val="000000"/>
                <w:kern w:val="0"/>
                <w:sz w:val="24"/>
                <w:szCs w:val="24"/>
                <w:u w:val="none"/>
                <w:lang w:val="en-US" w:eastAsia="zh-CN" w:bidi="ar"/>
              </w:rPr>
              <w:t>函</w:t>
            </w:r>
          </w:p>
        </w:tc>
      </w:tr>
      <w:tr>
        <w:tblPrEx>
          <w:tblCellMar>
            <w:top w:w="0" w:type="dxa"/>
            <w:left w:w="0" w:type="dxa"/>
            <w:bottom w:w="0" w:type="dxa"/>
            <w:right w:w="0" w:type="dxa"/>
          </w:tblCellMar>
        </w:tblPrEx>
        <w:trPr>
          <w:trHeight w:val="1532"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回迁物业交房进度</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评分内容：</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竞投人承诺在取得《施工许可证》之日起48个月内向招商方交付回迁物业的，在此基础上承诺交付回迁物业时间每提前5天加2分，单项最高得分10分。</w:t>
            </w:r>
          </w:p>
          <w:p>
            <w:pPr>
              <w:keepNext w:val="0"/>
              <w:keepLines w:val="0"/>
              <w:widowControl/>
              <w:suppressLineNumbers w:val="0"/>
              <w:jc w:val="left"/>
              <w:textAlignment w:val="center"/>
              <w:rPr>
                <w:rFonts w:hint="default"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评分依据：提供盖有公章的承诺</w:t>
            </w:r>
            <w:r>
              <w:rPr>
                <w:rFonts w:hint="eastAsia" w:ascii="宋体" w:hAnsi="宋体" w:cs="宋体"/>
                <w:i w:val="0"/>
                <w:color w:val="000000"/>
                <w:kern w:val="0"/>
                <w:sz w:val="24"/>
                <w:szCs w:val="24"/>
                <w:u w:val="none"/>
                <w:lang w:val="en-US" w:eastAsia="zh-CN" w:bidi="ar"/>
              </w:rPr>
              <w:t>函</w:t>
            </w:r>
          </w:p>
        </w:tc>
      </w:tr>
      <w:tr>
        <w:tblPrEx>
          <w:tblCellMar>
            <w:top w:w="0" w:type="dxa"/>
            <w:left w:w="0" w:type="dxa"/>
            <w:bottom w:w="0" w:type="dxa"/>
            <w:right w:w="0" w:type="dxa"/>
          </w:tblCellMar>
        </w:tblPrEx>
        <w:trPr>
          <w:trHeight w:val="4245" w:hRule="atLeast"/>
          <w:jc w:val="center"/>
        </w:trPr>
        <w:tc>
          <w:tcPr>
            <w:tcW w:w="65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2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规划概念设计方案</w:t>
            </w:r>
          </w:p>
        </w:tc>
        <w:tc>
          <w:tcPr>
            <w:tcW w:w="6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3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评分内容：</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对竞投人提供的规划概念设计方案进行打分：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（1）提供规划概念设计方案并附规划指标符合性说明，且规划概念方案符合《深圳市龙岗区平湖街道凤凰工业园城市更新项目单元专项规划》提出的规划指标要求的，得4分。；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（2）提供规划概念设计方案且附规划指标符合性说明的，但规划概念方案不符合《深圳市龙岗区平湖街道凤凰工业园城市更新项目单元专项规划》提出的规划指标要求的，得2分；</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（3） 未提供或提供的方案中未附规划指标符合性说明的，得0分                                  </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评分依据：</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提供《项目规划概念设计方案》、设计方案规划指标与《深圳市龙岗区平湖街道凤凰工业园城市更新项目单元专项规划》批准指标之间的符合性说明</w:t>
            </w:r>
          </w:p>
        </w:tc>
      </w:tr>
      <w:tr>
        <w:tblPrEx>
          <w:tblCellMar>
            <w:top w:w="0" w:type="dxa"/>
            <w:left w:w="0" w:type="dxa"/>
            <w:bottom w:w="0" w:type="dxa"/>
            <w:right w:w="0" w:type="dxa"/>
          </w:tblCellMar>
        </w:tblPrEx>
        <w:trPr>
          <w:trHeight w:val="4848" w:hRule="atLeast"/>
          <w:jc w:val="center"/>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商务报价（30分）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最终报价</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6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评分内容：</w:t>
            </w:r>
          </w:p>
          <w:p>
            <w:pPr>
              <w:keepNext w:val="0"/>
              <w:keepLines w:val="0"/>
              <w:widowControl/>
              <w:suppressLineNumbers w:val="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在招商底价的基础上竞投人报价增加货币补偿或增加商业、办公或住宅物业面积价值在100万元以内</w:t>
            </w:r>
            <w:r>
              <w:rPr>
                <w:rFonts w:hint="eastAsia" w:ascii="宋体" w:hAnsi="宋体" w:cs="宋体"/>
                <w:i w:val="0"/>
                <w:color w:val="000000"/>
                <w:kern w:val="0"/>
                <w:sz w:val="24"/>
                <w:szCs w:val="24"/>
                <w:highlight w:val="none"/>
                <w:u w:val="none"/>
                <w:lang w:val="en-US" w:eastAsia="zh-CN" w:bidi="ar"/>
              </w:rPr>
              <w:t>（含本数）</w:t>
            </w:r>
            <w:r>
              <w:rPr>
                <w:rFonts w:hint="eastAsia" w:ascii="宋体" w:hAnsi="宋体" w:eastAsia="宋体" w:cs="宋体"/>
                <w:i w:val="0"/>
                <w:color w:val="000000"/>
                <w:kern w:val="0"/>
                <w:sz w:val="24"/>
                <w:szCs w:val="24"/>
                <w:highlight w:val="none"/>
                <w:u w:val="none"/>
                <w:lang w:val="en-US" w:eastAsia="zh-CN" w:bidi="ar"/>
              </w:rPr>
              <w:t>的，得25分，此后每增加</w:t>
            </w:r>
            <w:r>
              <w:rPr>
                <w:rFonts w:hint="eastAsia" w:ascii="宋体" w:hAnsi="宋体" w:cs="宋体"/>
                <w:i w:val="0"/>
                <w:color w:val="000000"/>
                <w:kern w:val="0"/>
                <w:sz w:val="24"/>
                <w:szCs w:val="24"/>
                <w:highlight w:val="none"/>
                <w:u w:val="none"/>
                <w:lang w:val="en-US" w:eastAsia="zh-CN" w:bidi="ar"/>
              </w:rPr>
              <w:t>500</w:t>
            </w:r>
            <w:r>
              <w:rPr>
                <w:rFonts w:hint="eastAsia" w:ascii="宋体" w:hAnsi="宋体" w:eastAsia="宋体" w:cs="宋体"/>
                <w:i w:val="0"/>
                <w:color w:val="000000"/>
                <w:kern w:val="0"/>
                <w:sz w:val="24"/>
                <w:szCs w:val="24"/>
                <w:highlight w:val="none"/>
                <w:u w:val="none"/>
                <w:lang w:val="en-US" w:eastAsia="zh-CN" w:bidi="ar"/>
              </w:rPr>
              <w:t xml:space="preserve">万元得1分，单项最高得30分。 </w:t>
            </w:r>
          </w:p>
          <w:p>
            <w:pPr>
              <w:keepNext w:val="0"/>
              <w:keepLines w:val="0"/>
              <w:widowControl/>
              <w:suppressLineNumbers w:val="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注：1、项目方分得回迁商业面积、回迁办公面积、回迁住宅面积及现金补偿低于上述挂牌底价的，整份</w:t>
            </w:r>
            <w:r>
              <w:rPr>
                <w:rFonts w:hint="eastAsia" w:ascii="宋体" w:hAnsi="宋体" w:cs="宋体"/>
                <w:i w:val="0"/>
                <w:color w:val="000000"/>
                <w:kern w:val="0"/>
                <w:sz w:val="24"/>
                <w:szCs w:val="24"/>
                <w:highlight w:val="none"/>
                <w:u w:val="none"/>
                <w:lang w:val="en-US" w:eastAsia="zh-CN" w:bidi="ar"/>
              </w:rPr>
              <w:t>投标</w:t>
            </w:r>
            <w:r>
              <w:rPr>
                <w:rFonts w:hint="eastAsia" w:ascii="宋体" w:hAnsi="宋体" w:eastAsia="宋体" w:cs="宋体"/>
                <w:i w:val="0"/>
                <w:color w:val="000000"/>
                <w:kern w:val="0"/>
                <w:sz w:val="24"/>
                <w:szCs w:val="24"/>
                <w:highlight w:val="none"/>
                <w:u w:val="none"/>
                <w:lang w:val="en-US" w:eastAsia="zh-CN" w:bidi="ar"/>
              </w:rPr>
              <w:t>文件无效。</w:t>
            </w:r>
          </w:p>
          <w:p>
            <w:pPr>
              <w:keepNext w:val="0"/>
              <w:keepLines w:val="0"/>
              <w:widowControl/>
              <w:suppressLineNumbers w:val="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2、回迁商业首层（临凤凰大道）单价为人民币58,000元/平方米、首层（临规划一路）单价为人民币58,000元/平方米，第二层商业单价为43,500元/平方米，回迁办公单价为人民币28,000元/平方米，回迁住宅单价为人民币40,000元/平方米。</w:t>
            </w:r>
          </w:p>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highlight w:val="none"/>
                <w:u w:val="none"/>
                <w:lang w:val="en-US" w:eastAsia="zh-CN" w:bidi="ar"/>
              </w:rPr>
              <w:t>评分依据：提供《报价</w:t>
            </w:r>
            <w:r>
              <w:rPr>
                <w:rFonts w:hint="eastAsia" w:ascii="宋体" w:hAnsi="宋体" w:cs="宋体"/>
                <w:i w:val="0"/>
                <w:color w:val="000000"/>
                <w:kern w:val="0"/>
                <w:sz w:val="24"/>
                <w:szCs w:val="24"/>
                <w:highlight w:val="none"/>
                <w:u w:val="none"/>
                <w:lang w:val="en-US" w:eastAsia="zh-CN" w:bidi="ar"/>
              </w:rPr>
              <w:t>得分表</w:t>
            </w:r>
            <w:r>
              <w:rPr>
                <w:rFonts w:hint="eastAsia" w:ascii="宋体" w:hAnsi="宋体" w:eastAsia="宋体" w:cs="宋体"/>
                <w:i w:val="0"/>
                <w:color w:val="000000"/>
                <w:kern w:val="0"/>
                <w:sz w:val="24"/>
                <w:szCs w:val="24"/>
                <w:highlight w:val="none"/>
                <w:u w:val="none"/>
                <w:lang w:val="en-US" w:eastAsia="zh-CN" w:bidi="ar"/>
              </w:rPr>
              <w:t>》</w:t>
            </w:r>
          </w:p>
        </w:tc>
      </w:tr>
      <w:tr>
        <w:tblPrEx>
          <w:tblCellMar>
            <w:top w:w="0" w:type="dxa"/>
            <w:left w:w="0" w:type="dxa"/>
            <w:bottom w:w="0" w:type="dxa"/>
            <w:right w:w="0" w:type="dxa"/>
          </w:tblCellMar>
        </w:tblPrEx>
        <w:trPr>
          <w:trHeight w:val="1019" w:hRule="atLeast"/>
          <w:jc w:val="center"/>
        </w:trPr>
        <w:tc>
          <w:tcPr>
            <w:tcW w:w="6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2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优先分</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（6分）</w:t>
            </w:r>
          </w:p>
        </w:tc>
        <w:tc>
          <w:tcPr>
            <w:tcW w:w="80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意向合作方优先分</w:t>
            </w:r>
          </w:p>
        </w:tc>
        <w:tc>
          <w:tcPr>
            <w:tcW w:w="6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63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依据《龙岗区集体产权交易监督管理办法》及项目方股东代表大会决议，给与本项目意向合作方深圳大承企业管理有限公司（原名：深圳大承房地产有限公司）优先分6分。</w:t>
            </w:r>
          </w:p>
        </w:tc>
      </w:tr>
      <w:tr>
        <w:tblPrEx>
          <w:tblCellMar>
            <w:top w:w="0" w:type="dxa"/>
            <w:left w:w="0" w:type="dxa"/>
            <w:bottom w:w="0" w:type="dxa"/>
            <w:right w:w="0" w:type="dxa"/>
          </w:tblCellMar>
        </w:tblPrEx>
        <w:trPr>
          <w:trHeight w:val="541" w:hRule="atLeast"/>
          <w:jc w:val="center"/>
        </w:trPr>
        <w:tc>
          <w:tcPr>
            <w:tcW w:w="924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rPr>
            </w:pPr>
            <w:r>
              <w:rPr>
                <w:rFonts w:hint="eastAsia" w:ascii="宋体" w:hAnsi="宋体" w:eastAsia="宋体" w:cs="宋体"/>
                <w:i w:val="0"/>
                <w:color w:val="000000"/>
                <w:kern w:val="0"/>
                <w:sz w:val="24"/>
                <w:szCs w:val="24"/>
                <w:u w:val="none"/>
                <w:lang w:val="en-US" w:eastAsia="zh-CN" w:bidi="ar"/>
              </w:rPr>
              <w:t>评分合计100分</w:t>
            </w:r>
          </w:p>
        </w:tc>
      </w:tr>
      <w:tr>
        <w:tblPrEx>
          <w:tblCellMar>
            <w:top w:w="0" w:type="dxa"/>
            <w:left w:w="0" w:type="dxa"/>
            <w:bottom w:w="0" w:type="dxa"/>
            <w:right w:w="0" w:type="dxa"/>
          </w:tblCellMar>
        </w:tblPrEx>
        <w:trPr>
          <w:trHeight w:val="1240" w:hRule="atLeast"/>
          <w:jc w:val="center"/>
        </w:trPr>
        <w:tc>
          <w:tcPr>
            <w:tcW w:w="9246"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响应方须提交《承诺函》，对技术部分评分标准中涉及出具《承诺函》的事项予以书面承诺，响应方未在承诺时限内完成相关事项的，将依照约定没收响应方履约保证金或要求响应方承担违约赔偿责任。</w:t>
            </w:r>
          </w:p>
        </w:tc>
      </w:tr>
      <w:bookmarkEnd w:id="0"/>
      <w:bookmarkEnd w:id="1"/>
    </w:tbl>
    <w:p>
      <w:pPr>
        <w:spacing w:line="400" w:lineRule="exact"/>
        <w:jc w:val="both"/>
        <w:rPr>
          <w:rFonts w:hint="eastAsia" w:ascii="宋体" w:hAnsi="宋体" w:eastAsia="宋体" w:cs="宋体"/>
        </w:rPr>
      </w:pPr>
      <w:bookmarkStart w:id="12" w:name="_Toc152042302"/>
      <w:bookmarkStart w:id="13" w:name="_Toc152045526"/>
      <w:bookmarkStart w:id="14" w:name="_Toc144974494"/>
      <w:r>
        <w:rPr>
          <w:rFonts w:hint="eastAsia" w:ascii="宋体" w:hAnsi="宋体" w:eastAsia="宋体" w:cs="宋体"/>
          <w:color w:val="000000"/>
        </w:rPr>
        <w:br w:type="page"/>
      </w:r>
    </w:p>
    <w:bookmarkEnd w:id="12"/>
    <w:bookmarkEnd w:id="13"/>
    <w:bookmarkEnd w:id="14"/>
    <w:p>
      <w:pPr>
        <w:rPr>
          <w:rFonts w:hint="eastAsia" w:ascii="宋体" w:hAnsi="宋体" w:eastAsia="宋体" w:cs="宋体"/>
        </w:rPr>
      </w:pPr>
      <w:bookmarkStart w:id="15" w:name="_Toc144974495"/>
      <w:bookmarkStart w:id="16" w:name="_Toc152045527"/>
      <w:bookmarkStart w:id="17" w:name="_Toc152042303"/>
    </w:p>
    <w:p>
      <w:pPr>
        <w:pStyle w:val="3"/>
        <w:spacing w:before="120" w:after="120" w:line="400" w:lineRule="exact"/>
        <w:jc w:val="center"/>
        <w:rPr>
          <w:rFonts w:hint="eastAsia" w:ascii="宋体" w:hAnsi="宋体" w:eastAsia="宋体" w:cs="宋体"/>
          <w:b/>
          <w:bCs/>
          <w:color w:val="000000"/>
          <w:sz w:val="32"/>
        </w:rPr>
      </w:pPr>
      <w:bookmarkStart w:id="18" w:name="_Toc55238623"/>
      <w:r>
        <w:rPr>
          <w:rFonts w:hint="eastAsia" w:ascii="宋体" w:hAnsi="宋体" w:eastAsia="宋体" w:cs="宋体"/>
          <w:b/>
          <w:bCs/>
          <w:color w:val="000000"/>
          <w:sz w:val="32"/>
        </w:rPr>
        <w:t>第</w:t>
      </w:r>
      <w:r>
        <w:rPr>
          <w:rFonts w:hint="eastAsia" w:ascii="宋体" w:hAnsi="宋体" w:eastAsia="宋体" w:cs="宋体"/>
          <w:b/>
          <w:bCs/>
          <w:color w:val="000000"/>
          <w:sz w:val="32"/>
          <w:lang w:val="en-US" w:eastAsia="zh-CN"/>
        </w:rPr>
        <w:t>一</w:t>
      </w:r>
      <w:r>
        <w:rPr>
          <w:rFonts w:hint="eastAsia" w:ascii="宋体" w:hAnsi="宋体" w:eastAsia="宋体" w:cs="宋体"/>
          <w:b/>
          <w:bCs/>
          <w:color w:val="000000"/>
          <w:sz w:val="32"/>
        </w:rPr>
        <w:t>部分 投标人须知</w:t>
      </w:r>
      <w:bookmarkEnd w:id="15"/>
      <w:bookmarkEnd w:id="16"/>
      <w:bookmarkEnd w:id="17"/>
      <w:bookmarkEnd w:id="18"/>
    </w:p>
    <w:p>
      <w:pPr>
        <w:rPr>
          <w:rFonts w:hint="eastAsia" w:ascii="宋体" w:hAnsi="宋体" w:eastAsia="宋体" w:cs="宋体"/>
        </w:rPr>
      </w:pPr>
    </w:p>
    <w:p>
      <w:pPr>
        <w:pStyle w:val="16"/>
        <w:jc w:val="center"/>
        <w:rPr>
          <w:rFonts w:hint="eastAsia" w:ascii="宋体" w:hAnsi="宋体" w:eastAsia="宋体" w:cs="宋体"/>
          <w:b/>
          <w:bCs/>
          <w:color w:val="000000"/>
        </w:rPr>
      </w:pPr>
      <w:bookmarkStart w:id="19" w:name="_Toc144974497"/>
      <w:bookmarkStart w:id="20" w:name="_Toc152045529"/>
      <w:bookmarkStart w:id="21" w:name="_Toc55238624"/>
      <w:bookmarkStart w:id="22" w:name="_Toc152042305"/>
      <w:r>
        <w:rPr>
          <w:rFonts w:hint="eastAsia" w:ascii="宋体" w:hAnsi="宋体" w:eastAsia="宋体" w:cs="宋体"/>
          <w:b/>
          <w:bCs/>
          <w:color w:val="000000"/>
        </w:rPr>
        <w:t>第一章 总则</w:t>
      </w:r>
      <w:bookmarkEnd w:id="19"/>
      <w:bookmarkEnd w:id="20"/>
      <w:bookmarkEnd w:id="21"/>
      <w:bookmarkEnd w:id="22"/>
    </w:p>
    <w:p>
      <w:pPr>
        <w:pStyle w:val="17"/>
        <w:rPr>
          <w:rFonts w:hint="eastAsia" w:ascii="宋体" w:hAnsi="宋体" w:eastAsia="宋体" w:cs="宋体"/>
          <w:color w:val="000000"/>
          <w:sz w:val="28"/>
          <w:szCs w:val="28"/>
        </w:rPr>
      </w:pPr>
      <w:bookmarkStart w:id="23" w:name="_Toc55238625"/>
      <w:bookmarkStart w:id="24" w:name="_Toc152045530"/>
      <w:bookmarkStart w:id="25" w:name="_Toc144974498"/>
      <w:bookmarkStart w:id="26" w:name="_Toc152042306"/>
      <w:r>
        <w:rPr>
          <w:rFonts w:hint="eastAsia" w:ascii="宋体" w:hAnsi="宋体" w:eastAsia="宋体" w:cs="宋体"/>
          <w:color w:val="000000"/>
          <w:sz w:val="28"/>
          <w:szCs w:val="28"/>
        </w:rPr>
        <w:t>1. 说明</w:t>
      </w:r>
      <w:bookmarkEnd w:id="23"/>
    </w:p>
    <w:p>
      <w:pPr>
        <w:spacing w:line="400" w:lineRule="exact"/>
        <w:ind w:firstLine="360" w:firstLineChars="150"/>
        <w:rPr>
          <w:rFonts w:hint="eastAsia" w:ascii="宋体" w:hAnsi="宋体" w:eastAsia="宋体" w:cs="宋体"/>
          <w:color w:val="000000"/>
          <w:sz w:val="24"/>
        </w:rPr>
      </w:pPr>
      <w:r>
        <w:rPr>
          <w:rFonts w:hint="eastAsia" w:ascii="宋体" w:hAnsi="宋体" w:eastAsia="宋体" w:cs="宋体"/>
          <w:color w:val="000000"/>
          <w:sz w:val="24"/>
        </w:rPr>
        <w:t>1.1</w:t>
      </w:r>
      <w:r>
        <w:rPr>
          <w:rFonts w:hint="eastAsia" w:ascii="宋体" w:hAnsi="宋体" w:eastAsia="宋体" w:cs="宋体"/>
          <w:color w:val="000000"/>
          <w:sz w:val="24"/>
          <w:szCs w:val="24"/>
        </w:rPr>
        <w:t>根据《龙岗区集体产权交易监督管理办法》（深龙府办规〔2020〕3号）、《龙岗区社区股份合作公司集体用地开发和交易监管实施细则》（深龙府办规〔202</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〕2号）</w:t>
      </w:r>
      <w:r>
        <w:rPr>
          <w:rFonts w:hint="eastAsia" w:ascii="宋体" w:hAnsi="宋体" w:eastAsia="宋体" w:cs="宋体"/>
          <w:color w:val="000000"/>
          <w:sz w:val="24"/>
        </w:rPr>
        <w:t>等有关法律、法规和政策规章，参照</w:t>
      </w:r>
      <w:r>
        <w:rPr>
          <w:rFonts w:hint="eastAsia" w:ascii="宋体" w:hAnsi="宋体" w:eastAsia="宋体" w:cs="宋体"/>
          <w:color w:val="000000"/>
          <w:sz w:val="24"/>
          <w:szCs w:val="24"/>
        </w:rPr>
        <w:t>《深圳市龙岗区国资局关于进一步促进股份合作公司集体用地合作开发和交易的通知》（深龙国资〔202</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〕33号）</w:t>
      </w:r>
      <w:r>
        <w:rPr>
          <w:rFonts w:hint="eastAsia" w:ascii="宋体" w:hAnsi="宋体" w:eastAsia="宋体" w:cs="宋体"/>
          <w:color w:val="000000"/>
          <w:sz w:val="24"/>
        </w:rPr>
        <w:t>，结合项目实际，制定本</w:t>
      </w:r>
      <w:r>
        <w:rPr>
          <w:rFonts w:hint="eastAsia" w:ascii="宋体" w:hAnsi="宋体" w:cs="宋体"/>
          <w:color w:val="000000"/>
          <w:sz w:val="24"/>
          <w:lang w:eastAsia="zh-CN"/>
        </w:rPr>
        <w:t>招标文件</w:t>
      </w:r>
      <w:r>
        <w:rPr>
          <w:rFonts w:hint="eastAsia" w:ascii="宋体" w:hAnsi="宋体" w:eastAsia="宋体" w:cs="宋体"/>
          <w:color w:val="000000"/>
          <w:sz w:val="24"/>
        </w:rPr>
        <w:t>。</w:t>
      </w:r>
    </w:p>
    <w:p>
      <w:pPr>
        <w:spacing w:line="400" w:lineRule="exact"/>
        <w:ind w:firstLine="360" w:firstLineChars="150"/>
        <w:rPr>
          <w:rFonts w:hint="eastAsia" w:ascii="宋体" w:hAnsi="宋体" w:eastAsia="宋体" w:cs="宋体"/>
          <w:color w:val="000000"/>
          <w:sz w:val="24"/>
        </w:rPr>
      </w:pPr>
      <w:r>
        <w:rPr>
          <w:rFonts w:hint="eastAsia" w:ascii="宋体" w:hAnsi="宋体" w:eastAsia="宋体" w:cs="宋体"/>
          <w:color w:val="000000"/>
          <w:sz w:val="24"/>
        </w:rPr>
        <w:t>1.2 “</w:t>
      </w:r>
      <w:r>
        <w:rPr>
          <w:rFonts w:hint="eastAsia" w:ascii="宋体" w:hAnsi="宋体" w:cs="宋体"/>
          <w:color w:val="000000"/>
          <w:sz w:val="24"/>
          <w:lang w:eastAsia="zh-CN"/>
        </w:rPr>
        <w:t>招标文件</w:t>
      </w:r>
      <w:r>
        <w:rPr>
          <w:rFonts w:hint="eastAsia" w:ascii="宋体" w:hAnsi="宋体" w:eastAsia="宋体" w:cs="宋体"/>
          <w:color w:val="000000"/>
          <w:sz w:val="24"/>
        </w:rPr>
        <w:t>”，是指为了使招标规范有序进行，经与招标人协商，制定的对投标人有约束力的一系列文件；“投标文件”是指投标人响应</w:t>
      </w:r>
      <w:r>
        <w:rPr>
          <w:rFonts w:hint="eastAsia" w:ascii="宋体" w:hAnsi="宋体" w:cs="宋体"/>
          <w:color w:val="000000"/>
          <w:sz w:val="24"/>
          <w:lang w:eastAsia="zh-CN"/>
        </w:rPr>
        <w:t>招标文件</w:t>
      </w:r>
      <w:r>
        <w:rPr>
          <w:rFonts w:hint="eastAsia" w:ascii="宋体" w:hAnsi="宋体" w:eastAsia="宋体" w:cs="宋体"/>
          <w:color w:val="000000"/>
          <w:sz w:val="24"/>
        </w:rPr>
        <w:t>，按</w:t>
      </w:r>
      <w:r>
        <w:rPr>
          <w:rFonts w:hint="eastAsia" w:ascii="宋体" w:hAnsi="宋体" w:cs="宋体"/>
          <w:color w:val="000000"/>
          <w:sz w:val="24"/>
          <w:lang w:eastAsia="zh-CN"/>
        </w:rPr>
        <w:t>招标文件</w:t>
      </w:r>
      <w:r>
        <w:rPr>
          <w:rFonts w:hint="eastAsia" w:ascii="宋体" w:hAnsi="宋体" w:eastAsia="宋体" w:cs="宋体"/>
          <w:color w:val="000000"/>
          <w:sz w:val="24"/>
        </w:rPr>
        <w:t>要求编写的一系列文件及投标人在评审过程中为响应评标委员会要求而形成的双方认可，并经投标人法人代表或法人代表委托人签字（或盖章）的有效书面材料。</w:t>
      </w:r>
    </w:p>
    <w:p>
      <w:pPr>
        <w:spacing w:line="400" w:lineRule="exact"/>
        <w:ind w:firstLine="360" w:firstLineChars="150"/>
        <w:rPr>
          <w:rFonts w:hint="eastAsia" w:ascii="宋体" w:hAnsi="宋体" w:eastAsia="宋体" w:cs="宋体"/>
          <w:color w:val="000000"/>
          <w:sz w:val="24"/>
        </w:rPr>
      </w:pPr>
      <w:r>
        <w:rPr>
          <w:rFonts w:hint="eastAsia" w:ascii="宋体" w:hAnsi="宋体" w:eastAsia="宋体" w:cs="宋体"/>
          <w:color w:val="000000"/>
          <w:sz w:val="24"/>
        </w:rPr>
        <w:t>1.3 本</w:t>
      </w:r>
      <w:r>
        <w:rPr>
          <w:rFonts w:hint="eastAsia" w:ascii="宋体" w:hAnsi="宋体" w:cs="宋体"/>
          <w:color w:val="000000"/>
          <w:sz w:val="24"/>
          <w:lang w:eastAsia="zh-CN"/>
        </w:rPr>
        <w:t>招标文件</w:t>
      </w:r>
      <w:r>
        <w:rPr>
          <w:rFonts w:hint="eastAsia" w:ascii="宋体" w:hAnsi="宋体" w:eastAsia="宋体" w:cs="宋体"/>
          <w:color w:val="000000"/>
          <w:sz w:val="24"/>
        </w:rPr>
        <w:t>中除要求填写、添加的内容外，不得对其他文字内容做任何改动。如因操作失误而改动的，以本</w:t>
      </w:r>
      <w:r>
        <w:rPr>
          <w:rFonts w:hint="eastAsia" w:ascii="宋体" w:hAnsi="宋体" w:cs="宋体"/>
          <w:color w:val="000000"/>
          <w:sz w:val="24"/>
          <w:lang w:eastAsia="zh-CN"/>
        </w:rPr>
        <w:t>招标文件</w:t>
      </w:r>
      <w:r>
        <w:rPr>
          <w:rFonts w:hint="eastAsia" w:ascii="宋体" w:hAnsi="宋体" w:eastAsia="宋体" w:cs="宋体"/>
          <w:color w:val="000000"/>
          <w:sz w:val="24"/>
        </w:rPr>
        <w:t>模板中的文字叙述为准。</w:t>
      </w:r>
    </w:p>
    <w:p>
      <w:pPr>
        <w:spacing w:line="400" w:lineRule="exact"/>
        <w:ind w:firstLine="360" w:firstLineChars="150"/>
        <w:rPr>
          <w:rFonts w:hint="eastAsia" w:ascii="宋体" w:hAnsi="宋体" w:eastAsia="宋体" w:cs="宋体"/>
          <w:color w:val="000000"/>
          <w:sz w:val="24"/>
        </w:rPr>
      </w:pPr>
      <w:r>
        <w:rPr>
          <w:rFonts w:hint="eastAsia" w:ascii="宋体" w:hAnsi="宋体" w:eastAsia="宋体" w:cs="宋体"/>
          <w:color w:val="000000"/>
          <w:sz w:val="24"/>
        </w:rPr>
        <w:t xml:space="preserve">1.4 </w:t>
      </w:r>
      <w:r>
        <w:rPr>
          <w:rFonts w:hint="eastAsia" w:ascii="宋体" w:hAnsi="宋体" w:cs="宋体"/>
          <w:color w:val="000000"/>
          <w:sz w:val="24"/>
          <w:lang w:eastAsia="zh-CN"/>
        </w:rPr>
        <w:t>招标文件</w:t>
      </w:r>
      <w:r>
        <w:rPr>
          <w:rFonts w:hint="eastAsia" w:ascii="宋体" w:hAnsi="宋体" w:eastAsia="宋体" w:cs="宋体"/>
          <w:color w:val="000000"/>
          <w:sz w:val="24"/>
        </w:rPr>
        <w:t>中的标题或题名仅起引导作用，而不应视为对</w:t>
      </w:r>
      <w:r>
        <w:rPr>
          <w:rFonts w:hint="eastAsia" w:ascii="宋体" w:hAnsi="宋体" w:cs="宋体"/>
          <w:color w:val="000000"/>
          <w:sz w:val="24"/>
          <w:lang w:eastAsia="zh-CN"/>
        </w:rPr>
        <w:t>招标文件</w:t>
      </w:r>
      <w:r>
        <w:rPr>
          <w:rFonts w:hint="eastAsia" w:ascii="宋体" w:hAnsi="宋体" w:eastAsia="宋体" w:cs="宋体"/>
          <w:color w:val="000000"/>
          <w:sz w:val="24"/>
        </w:rPr>
        <w:t>内容的理解和解释。</w:t>
      </w:r>
    </w:p>
    <w:p>
      <w:pPr>
        <w:spacing w:line="400" w:lineRule="exact"/>
        <w:ind w:firstLine="360" w:firstLineChars="150"/>
        <w:rPr>
          <w:rFonts w:hint="eastAsia" w:ascii="宋体" w:hAnsi="宋体" w:eastAsia="宋体" w:cs="宋体"/>
          <w:color w:val="000000"/>
          <w:sz w:val="24"/>
        </w:rPr>
      </w:pPr>
      <w:r>
        <w:rPr>
          <w:rFonts w:hint="eastAsia" w:ascii="宋体" w:hAnsi="宋体" w:eastAsia="宋体" w:cs="宋体"/>
          <w:color w:val="000000"/>
          <w:sz w:val="24"/>
        </w:rPr>
        <w:t>1.5本</w:t>
      </w:r>
      <w:r>
        <w:rPr>
          <w:rFonts w:hint="eastAsia" w:ascii="宋体" w:hAnsi="宋体" w:cs="宋体"/>
          <w:color w:val="000000"/>
          <w:sz w:val="24"/>
          <w:lang w:eastAsia="zh-CN"/>
        </w:rPr>
        <w:t>招标文件</w:t>
      </w:r>
      <w:r>
        <w:rPr>
          <w:rFonts w:hint="eastAsia" w:ascii="宋体" w:hAnsi="宋体" w:eastAsia="宋体" w:cs="宋体"/>
          <w:color w:val="000000"/>
          <w:sz w:val="24"/>
        </w:rPr>
        <w:t>中涉及的“日”“天”等日期，如未特别注明为工作日的，均指日历日。</w:t>
      </w:r>
    </w:p>
    <w:p>
      <w:pPr>
        <w:spacing w:line="400" w:lineRule="exact"/>
        <w:ind w:firstLine="360" w:firstLineChars="150"/>
        <w:rPr>
          <w:rFonts w:hint="eastAsia" w:ascii="宋体" w:hAnsi="宋体" w:eastAsia="宋体" w:cs="宋体"/>
          <w:color w:val="000000"/>
          <w:sz w:val="24"/>
        </w:rPr>
      </w:pPr>
      <w:r>
        <w:rPr>
          <w:rFonts w:hint="eastAsia" w:ascii="宋体" w:hAnsi="宋体" w:eastAsia="宋体" w:cs="宋体"/>
          <w:color w:val="000000"/>
          <w:sz w:val="24"/>
        </w:rPr>
        <w:t>1.6本</w:t>
      </w:r>
      <w:r>
        <w:rPr>
          <w:rFonts w:hint="eastAsia" w:ascii="宋体" w:hAnsi="宋体" w:cs="宋体"/>
          <w:color w:val="000000"/>
          <w:sz w:val="24"/>
          <w:lang w:eastAsia="zh-CN"/>
        </w:rPr>
        <w:t>招标文件</w:t>
      </w:r>
      <w:r>
        <w:rPr>
          <w:rFonts w:hint="eastAsia" w:ascii="宋体" w:hAnsi="宋体" w:eastAsia="宋体" w:cs="宋体"/>
          <w:color w:val="000000"/>
          <w:sz w:val="24"/>
        </w:rPr>
        <w:t>的解释权归属深圳市</w:t>
      </w:r>
      <w:r>
        <w:rPr>
          <w:rFonts w:hint="eastAsia" w:ascii="宋体" w:hAnsi="宋体" w:eastAsia="宋体" w:cs="宋体"/>
          <w:color w:val="000000"/>
          <w:sz w:val="24"/>
          <w:lang w:eastAsia="zh-CN"/>
        </w:rPr>
        <w:t>新南</w:t>
      </w:r>
      <w:r>
        <w:rPr>
          <w:rFonts w:hint="eastAsia" w:ascii="宋体" w:hAnsi="宋体" w:eastAsia="宋体" w:cs="宋体"/>
          <w:color w:val="000000"/>
          <w:sz w:val="24"/>
        </w:rPr>
        <w:t>股份合作公司。</w:t>
      </w:r>
    </w:p>
    <w:p>
      <w:pPr>
        <w:pStyle w:val="17"/>
        <w:rPr>
          <w:rFonts w:hint="eastAsia" w:ascii="宋体" w:hAnsi="宋体" w:eastAsia="宋体" w:cs="宋体"/>
          <w:color w:val="000000"/>
          <w:sz w:val="28"/>
          <w:szCs w:val="28"/>
        </w:rPr>
      </w:pPr>
      <w:bookmarkStart w:id="27" w:name="_Toc55238626"/>
      <w:r>
        <w:rPr>
          <w:rFonts w:hint="eastAsia" w:ascii="宋体" w:hAnsi="宋体" w:eastAsia="宋体" w:cs="宋体"/>
          <w:color w:val="000000"/>
          <w:sz w:val="28"/>
          <w:szCs w:val="28"/>
        </w:rPr>
        <w:t>2. 项目概况</w:t>
      </w:r>
      <w:bookmarkEnd w:id="24"/>
      <w:bookmarkEnd w:id="25"/>
      <w:bookmarkEnd w:id="26"/>
      <w:bookmarkEnd w:id="27"/>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2.1招标人：见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2.2项目名称：见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w:t>
      </w:r>
    </w:p>
    <w:p>
      <w:pPr>
        <w:pStyle w:val="17"/>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3</w:t>
      </w:r>
      <w:r>
        <w:rPr>
          <w:rFonts w:hint="eastAsia" w:ascii="宋体" w:hAnsi="宋体" w:eastAsia="宋体" w:cs="宋体"/>
          <w:color w:val="000000"/>
          <w:sz w:val="28"/>
          <w:szCs w:val="28"/>
        </w:rPr>
        <w:t xml:space="preserve">. 投标人资格要求  </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3</w:t>
      </w:r>
      <w:r>
        <w:rPr>
          <w:rFonts w:hint="eastAsia" w:ascii="宋体" w:hAnsi="宋体" w:eastAsia="宋体" w:cs="宋体"/>
          <w:color w:val="000000"/>
          <w:sz w:val="24"/>
        </w:rPr>
        <w:t>.1 投标人资格要求见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w:t>
      </w:r>
    </w:p>
    <w:p>
      <w:pPr>
        <w:spacing w:line="400" w:lineRule="exact"/>
        <w:ind w:firstLine="480" w:firstLineChars="200"/>
        <w:rPr>
          <w:rFonts w:hint="eastAsia" w:ascii="宋体" w:hAnsi="宋体" w:eastAsia="宋体" w:cs="宋体"/>
          <w:sz w:val="24"/>
        </w:rPr>
      </w:pPr>
      <w:r>
        <w:rPr>
          <w:rFonts w:hint="eastAsia" w:ascii="宋体" w:hAnsi="宋体" w:cs="宋体"/>
          <w:sz w:val="24"/>
          <w:lang w:val="en-US" w:eastAsia="zh-CN"/>
        </w:rPr>
        <w:t>3</w:t>
      </w:r>
      <w:r>
        <w:rPr>
          <w:rFonts w:hint="eastAsia" w:ascii="宋体" w:hAnsi="宋体" w:eastAsia="宋体" w:cs="宋体"/>
          <w:sz w:val="24"/>
        </w:rPr>
        <w:t>.2</w:t>
      </w:r>
      <w:r>
        <w:rPr>
          <w:rFonts w:hint="eastAsia" w:ascii="宋体" w:hAnsi="宋体" w:eastAsia="宋体" w:cs="宋体"/>
          <w:b/>
          <w:bCs/>
          <w:sz w:val="24"/>
        </w:rPr>
        <w:t>投标人须知前附表</w:t>
      </w:r>
      <w:r>
        <w:rPr>
          <w:rFonts w:hint="eastAsia" w:ascii="宋体" w:hAnsi="宋体" w:eastAsia="宋体" w:cs="宋体"/>
          <w:sz w:val="24"/>
        </w:rPr>
        <w:t>规定接受联合体投标的，联合体除应符合本章第5.3 项和投标人须知前附表的要求外，还应遵守以下规定：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（1）联合体各方应按</w:t>
      </w:r>
      <w:r>
        <w:rPr>
          <w:rFonts w:hint="eastAsia" w:ascii="宋体" w:hAnsi="宋体" w:cs="宋体"/>
          <w:sz w:val="24"/>
          <w:lang w:eastAsia="zh-CN"/>
        </w:rPr>
        <w:t>招标文件</w:t>
      </w:r>
      <w:r>
        <w:rPr>
          <w:rFonts w:hint="eastAsia" w:ascii="宋体" w:hAnsi="宋体" w:eastAsia="宋体" w:cs="宋体"/>
          <w:sz w:val="24"/>
        </w:rPr>
        <w:t>提供的格式签订联合体协议书，明确联合体牵头人和各方权利义务，并承诺就中标项目向招标人承担连带责任；</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（2）由同一专业的单位组成的联合体，按照资质等级较低的单位确定资质等级；</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（3）联合体各方不得再以自己名义单独或参加其他联合体在本招标项目中投标，否则各相关投标均无效。</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.3 投标人不得存在下列情形之一：</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highlight w:val="none"/>
        </w:rPr>
        <w:t>不具有独立法人资格的</w:t>
      </w:r>
      <w:r>
        <w:rPr>
          <w:rFonts w:hint="eastAsia" w:ascii="宋体" w:hAnsi="宋体" w:eastAsia="宋体" w:cs="宋体"/>
          <w:color w:val="333333"/>
          <w:sz w:val="24"/>
          <w:szCs w:val="24"/>
          <w:highlight w:val="none"/>
          <w:shd w:val="clear" w:color="auto" w:fill="FFFFFF"/>
        </w:rPr>
        <w:t>招标</w:t>
      </w:r>
      <w:r>
        <w:rPr>
          <w:rFonts w:hint="eastAsia" w:ascii="宋体" w:hAnsi="宋体" w:eastAsia="宋体" w:cs="宋体"/>
          <w:kern w:val="0"/>
          <w:sz w:val="24"/>
          <w:szCs w:val="24"/>
          <w:highlight w:val="none"/>
        </w:rPr>
        <w:t>人附属机构；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（2）相互间有直接控股关系或法定代表人为同一人的两个或两个以上的法人，不得同时参加同一项目的申请；</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w:t>
      </w:r>
      <w:r>
        <w:rPr>
          <w:rFonts w:hint="eastAsia" w:ascii="宋体" w:hAnsi="宋体" w:eastAsia="宋体" w:cs="宋体"/>
          <w:color w:val="333333"/>
          <w:sz w:val="24"/>
          <w:szCs w:val="24"/>
          <w:shd w:val="clear" w:color="auto" w:fill="FFFFFF"/>
        </w:rPr>
        <w:t>招标</w:t>
      </w:r>
      <w:r>
        <w:rPr>
          <w:rFonts w:hint="eastAsia" w:ascii="宋体" w:hAnsi="宋体" w:eastAsia="宋体" w:cs="宋体"/>
          <w:kern w:val="0"/>
          <w:sz w:val="24"/>
          <w:szCs w:val="24"/>
        </w:rPr>
        <w:t>人董事会、监事会、集体资产管理委员会成员及其直系亲属控股或参与经营的企业，不得参与</w:t>
      </w:r>
      <w:r>
        <w:rPr>
          <w:rFonts w:hint="eastAsia" w:ascii="宋体" w:hAnsi="宋体" w:eastAsia="宋体" w:cs="宋体"/>
          <w:color w:val="333333"/>
          <w:sz w:val="24"/>
          <w:szCs w:val="24"/>
          <w:shd w:val="clear" w:color="auto" w:fill="FFFFFF"/>
        </w:rPr>
        <w:t>招标</w:t>
      </w:r>
      <w:r>
        <w:rPr>
          <w:rFonts w:hint="eastAsia" w:ascii="宋体" w:hAnsi="宋体" w:eastAsia="宋体" w:cs="宋体"/>
          <w:kern w:val="0"/>
          <w:sz w:val="24"/>
          <w:szCs w:val="24"/>
        </w:rPr>
        <w:t>人的土地开发项目；</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（4）被责令停业的；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（5）被暂停或取消投标资格的；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（6）财产被接管或冻结的；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（7）在最近三年内有骗取成交或严重违约或重大工程质量问题的；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（8）被纪检监察部门立案调查，违法违规事实成立的；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（9）隐瞒真实情况，提供虚假资料的；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（10）以非法手段排斥其他供应商参与竞争的；</w:t>
      </w:r>
    </w:p>
    <w:p>
      <w:pPr>
        <w:widowControl/>
        <w:spacing w:line="560" w:lineRule="exact"/>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（11）阻碍、抗拒主管部门监督检查的；</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kern w:val="0"/>
          <w:sz w:val="24"/>
          <w:szCs w:val="24"/>
        </w:rPr>
        <w:t>（12）主管部门认定的其他情形。</w:t>
      </w:r>
    </w:p>
    <w:p>
      <w:pPr>
        <w:pStyle w:val="17"/>
        <w:rPr>
          <w:rFonts w:hint="eastAsia" w:ascii="宋体" w:hAnsi="宋体" w:eastAsia="宋体" w:cs="宋体"/>
          <w:color w:val="000000"/>
          <w:sz w:val="28"/>
          <w:szCs w:val="28"/>
        </w:rPr>
      </w:pPr>
      <w:bookmarkStart w:id="28" w:name="_Toc152042311"/>
      <w:bookmarkStart w:id="29" w:name="_Toc55238630"/>
      <w:bookmarkStart w:id="30" w:name="_Toc144974503"/>
      <w:bookmarkStart w:id="31" w:name="_Toc152045535"/>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费用承担</w:t>
      </w:r>
      <w:bookmarkEnd w:id="28"/>
      <w:bookmarkEnd w:id="29"/>
      <w:bookmarkEnd w:id="30"/>
      <w:bookmarkEnd w:id="31"/>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投标人准备和参加投标活动发生的费用自理。</w:t>
      </w:r>
    </w:p>
    <w:p>
      <w:pPr>
        <w:pStyle w:val="17"/>
        <w:rPr>
          <w:rFonts w:hint="eastAsia" w:ascii="宋体" w:hAnsi="宋体" w:eastAsia="宋体" w:cs="宋体"/>
          <w:color w:val="000000"/>
          <w:sz w:val="28"/>
          <w:szCs w:val="28"/>
        </w:rPr>
      </w:pPr>
      <w:bookmarkStart w:id="32" w:name="_Toc144974504"/>
      <w:bookmarkStart w:id="33" w:name="_Toc152042312"/>
      <w:bookmarkStart w:id="34" w:name="_Toc152045536"/>
      <w:bookmarkStart w:id="35" w:name="_Toc55238631"/>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 保密</w:t>
      </w:r>
      <w:bookmarkEnd w:id="32"/>
      <w:bookmarkEnd w:id="33"/>
      <w:bookmarkEnd w:id="34"/>
      <w:bookmarkEnd w:id="35"/>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参与招投标活动的各方应对</w:t>
      </w:r>
      <w:r>
        <w:rPr>
          <w:rFonts w:hint="eastAsia" w:ascii="宋体" w:hAnsi="宋体" w:cs="宋体"/>
          <w:color w:val="000000"/>
          <w:sz w:val="24"/>
          <w:lang w:eastAsia="zh-CN"/>
        </w:rPr>
        <w:t>招标文件</w:t>
      </w:r>
      <w:r>
        <w:rPr>
          <w:rFonts w:hint="eastAsia" w:ascii="宋体" w:hAnsi="宋体" w:eastAsia="宋体" w:cs="宋体"/>
          <w:color w:val="000000"/>
          <w:sz w:val="24"/>
        </w:rPr>
        <w:t xml:space="preserve">和投标文件中的商业和技术等秘密保密，违者应对由此造成的后果承担法律责任。 </w:t>
      </w:r>
    </w:p>
    <w:p>
      <w:pPr>
        <w:pStyle w:val="17"/>
        <w:rPr>
          <w:rFonts w:hint="eastAsia" w:ascii="宋体" w:hAnsi="宋体" w:eastAsia="宋体" w:cs="宋体"/>
          <w:color w:val="000000"/>
          <w:sz w:val="28"/>
          <w:szCs w:val="28"/>
        </w:rPr>
      </w:pPr>
      <w:bookmarkStart w:id="36" w:name="_Toc144974505"/>
      <w:bookmarkStart w:id="37" w:name="_Toc55238632"/>
      <w:bookmarkStart w:id="38" w:name="_Toc152045537"/>
      <w:bookmarkStart w:id="39" w:name="_Toc152042313"/>
      <w:r>
        <w:rPr>
          <w:rFonts w:hint="eastAsia" w:ascii="宋体" w:hAnsi="宋体" w:eastAsia="宋体" w:cs="宋体"/>
          <w:color w:val="000000"/>
          <w:sz w:val="28"/>
          <w:szCs w:val="28"/>
          <w:lang w:val="en-US" w:eastAsia="zh-CN"/>
        </w:rPr>
        <w:t>6</w:t>
      </w:r>
      <w:r>
        <w:rPr>
          <w:rFonts w:hint="eastAsia" w:ascii="宋体" w:hAnsi="宋体" w:eastAsia="宋体" w:cs="宋体"/>
          <w:color w:val="000000"/>
          <w:sz w:val="28"/>
          <w:szCs w:val="28"/>
        </w:rPr>
        <w:t>. 语言</w:t>
      </w:r>
      <w:bookmarkEnd w:id="36"/>
      <w:r>
        <w:rPr>
          <w:rFonts w:hint="eastAsia" w:ascii="宋体" w:hAnsi="宋体" w:eastAsia="宋体" w:cs="宋体"/>
          <w:color w:val="000000"/>
          <w:sz w:val="28"/>
          <w:szCs w:val="28"/>
        </w:rPr>
        <w:t>文字</w:t>
      </w:r>
      <w:bookmarkEnd w:id="37"/>
      <w:bookmarkEnd w:id="38"/>
      <w:bookmarkEnd w:id="39"/>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除专用术语外，与</w:t>
      </w:r>
      <w:r>
        <w:rPr>
          <w:rFonts w:hint="eastAsia" w:ascii="宋体" w:hAnsi="宋体" w:cs="宋体"/>
          <w:color w:val="000000"/>
          <w:sz w:val="24"/>
          <w:lang w:eastAsia="zh-CN"/>
        </w:rPr>
        <w:t>招标文件</w:t>
      </w:r>
      <w:r>
        <w:rPr>
          <w:rFonts w:hint="eastAsia" w:ascii="宋体" w:hAnsi="宋体" w:eastAsia="宋体" w:cs="宋体"/>
          <w:color w:val="000000"/>
          <w:sz w:val="24"/>
        </w:rPr>
        <w:t>和投标文件有关的语言均使用中文。必要时专用术语应附有中文注释。</w:t>
      </w:r>
    </w:p>
    <w:p>
      <w:pPr>
        <w:pStyle w:val="17"/>
        <w:rPr>
          <w:rFonts w:hint="eastAsia" w:ascii="宋体" w:hAnsi="宋体" w:eastAsia="宋体" w:cs="宋体"/>
          <w:color w:val="000000"/>
          <w:sz w:val="28"/>
          <w:szCs w:val="28"/>
        </w:rPr>
      </w:pPr>
      <w:bookmarkStart w:id="40" w:name="_Toc144974506"/>
      <w:bookmarkStart w:id="41" w:name="_Toc152042314"/>
      <w:bookmarkStart w:id="42" w:name="_Toc55238633"/>
      <w:bookmarkStart w:id="43" w:name="_Toc152045538"/>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计量单位</w:t>
      </w:r>
      <w:bookmarkEnd w:id="40"/>
      <w:bookmarkEnd w:id="41"/>
      <w:bookmarkEnd w:id="42"/>
      <w:bookmarkEnd w:id="43"/>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所有计量均采用中华人民共和国法定计量单位。</w:t>
      </w:r>
    </w:p>
    <w:p>
      <w:pPr>
        <w:pStyle w:val="17"/>
        <w:rPr>
          <w:rFonts w:hint="eastAsia" w:ascii="宋体" w:hAnsi="宋体" w:eastAsia="宋体" w:cs="宋体"/>
          <w:color w:val="000000"/>
          <w:sz w:val="28"/>
          <w:szCs w:val="28"/>
        </w:rPr>
      </w:pPr>
      <w:bookmarkStart w:id="44" w:name="_Toc144974507"/>
      <w:bookmarkStart w:id="45" w:name="_Toc152045539"/>
      <w:bookmarkStart w:id="46" w:name="_Toc55238634"/>
      <w:bookmarkStart w:id="47" w:name="_Toc152042315"/>
      <w:r>
        <w:rPr>
          <w:rFonts w:hint="eastAsia" w:ascii="宋体" w:hAnsi="宋体" w:eastAsia="宋体" w:cs="宋体"/>
          <w:color w:val="000000"/>
          <w:sz w:val="28"/>
          <w:szCs w:val="28"/>
          <w:lang w:val="en-US" w:eastAsia="zh-CN"/>
        </w:rPr>
        <w:t>8</w:t>
      </w:r>
      <w:r>
        <w:rPr>
          <w:rFonts w:hint="eastAsia" w:ascii="宋体" w:hAnsi="宋体" w:eastAsia="宋体" w:cs="宋体"/>
          <w:color w:val="000000"/>
          <w:sz w:val="28"/>
          <w:szCs w:val="28"/>
        </w:rPr>
        <w:t>. 踏勘现场</w:t>
      </w:r>
      <w:bookmarkEnd w:id="44"/>
      <w:bookmarkEnd w:id="45"/>
      <w:bookmarkEnd w:id="46"/>
      <w:bookmarkEnd w:id="47"/>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8</w:t>
      </w:r>
      <w:r>
        <w:rPr>
          <w:rFonts w:hint="eastAsia" w:ascii="宋体" w:hAnsi="宋体" w:eastAsia="宋体" w:cs="宋体"/>
          <w:color w:val="000000"/>
          <w:sz w:val="24"/>
        </w:rPr>
        <w:t xml:space="preserve">.1 </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 xml:space="preserve">规定组织踏勘现场的，招标人按投标人须知前附表规定的时间、地点组织投标人踏勘项目现场。 </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8</w:t>
      </w:r>
      <w:r>
        <w:rPr>
          <w:rFonts w:hint="eastAsia" w:ascii="宋体" w:hAnsi="宋体" w:eastAsia="宋体" w:cs="宋体"/>
          <w:color w:val="000000"/>
          <w:sz w:val="24"/>
        </w:rPr>
        <w:t>.2 投标人踏勘现场发生的费用自理。</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8</w:t>
      </w:r>
      <w:r>
        <w:rPr>
          <w:rFonts w:hint="eastAsia" w:ascii="宋体" w:hAnsi="宋体" w:eastAsia="宋体" w:cs="宋体"/>
          <w:color w:val="000000"/>
          <w:sz w:val="24"/>
        </w:rPr>
        <w:t>.3 除招标人的原因外，投标人自行负责在踏勘现场中所发生的人员伤亡和财产损失。</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8</w:t>
      </w:r>
      <w:r>
        <w:rPr>
          <w:rFonts w:hint="eastAsia" w:ascii="宋体" w:hAnsi="宋体" w:eastAsia="宋体" w:cs="宋体"/>
          <w:color w:val="000000"/>
          <w:sz w:val="24"/>
        </w:rPr>
        <w:t>.4 招标人在踏勘现场中介绍的工程场地和相关的周边环境情况，供投标人在编制投标文件时参考，招标人不对投标人据此作出的判断和决策负责。</w:t>
      </w:r>
    </w:p>
    <w:p>
      <w:pPr>
        <w:pStyle w:val="17"/>
        <w:rPr>
          <w:rFonts w:hint="eastAsia" w:ascii="宋体" w:hAnsi="宋体" w:eastAsia="宋体" w:cs="宋体"/>
          <w:color w:val="000000"/>
          <w:sz w:val="28"/>
          <w:szCs w:val="28"/>
        </w:rPr>
      </w:pPr>
      <w:bookmarkStart w:id="48" w:name="_Toc144974508"/>
      <w:bookmarkStart w:id="49" w:name="_Toc152042316"/>
      <w:bookmarkStart w:id="50" w:name="_Toc152045540"/>
      <w:bookmarkStart w:id="51" w:name="_Toc55238635"/>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 xml:space="preserve">. </w:t>
      </w:r>
      <w:bookmarkEnd w:id="48"/>
      <w:bookmarkEnd w:id="49"/>
      <w:bookmarkEnd w:id="50"/>
      <w:r>
        <w:rPr>
          <w:rFonts w:hint="eastAsia" w:ascii="宋体" w:hAnsi="宋体" w:eastAsia="宋体" w:cs="宋体"/>
          <w:color w:val="000000"/>
          <w:sz w:val="28"/>
          <w:szCs w:val="28"/>
        </w:rPr>
        <w:t>投标预备会</w:t>
      </w:r>
      <w:bookmarkEnd w:id="51"/>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9</w:t>
      </w:r>
      <w:r>
        <w:rPr>
          <w:rFonts w:hint="eastAsia" w:ascii="宋体" w:hAnsi="宋体" w:eastAsia="宋体" w:cs="宋体"/>
          <w:color w:val="000000"/>
          <w:sz w:val="24"/>
        </w:rPr>
        <w:t xml:space="preserve">.1 </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规定召开投标预备会的，招标人按投标人须知前附表规定的时间和地点召开投标预备会，澄清投标人提出的问题。</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9</w:t>
      </w:r>
      <w:r>
        <w:rPr>
          <w:rFonts w:hint="eastAsia" w:ascii="宋体" w:hAnsi="宋体" w:eastAsia="宋体" w:cs="宋体"/>
          <w:color w:val="000000"/>
          <w:sz w:val="24"/>
        </w:rPr>
        <w:t>.2 投标人应在</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规定的时间前，以书面形式将提出的问题送达招标人，以便招标人在会议期间澄清。</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9</w:t>
      </w:r>
      <w:r>
        <w:rPr>
          <w:rFonts w:hint="eastAsia" w:ascii="宋体" w:hAnsi="宋体" w:eastAsia="宋体" w:cs="宋体"/>
          <w:color w:val="000000"/>
          <w:sz w:val="24"/>
        </w:rPr>
        <w:t>.3 投标预备会后，招标人在</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规定的时间内，对投标人所提问题作出澄清，澄清内容在</w:t>
      </w: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rPr>
        <w:t>网站</w:t>
      </w:r>
      <w:r>
        <w:rPr>
          <w:rFonts w:hint="eastAsia" w:ascii="宋体" w:hAnsi="宋体" w:eastAsia="宋体" w:cs="宋体"/>
          <w:kern w:val="0"/>
          <w:sz w:val="24"/>
          <w:szCs w:val="24"/>
        </w:rPr>
        <w:t>上公布后视为已送达所有投标人</w:t>
      </w:r>
      <w:r>
        <w:rPr>
          <w:rFonts w:hint="eastAsia" w:ascii="宋体" w:hAnsi="宋体" w:eastAsia="宋体" w:cs="宋体"/>
          <w:color w:val="000000"/>
          <w:sz w:val="24"/>
        </w:rPr>
        <w:t>。该澄清内容为</w:t>
      </w:r>
      <w:r>
        <w:rPr>
          <w:rFonts w:hint="eastAsia" w:ascii="宋体" w:hAnsi="宋体" w:cs="宋体"/>
          <w:color w:val="000000"/>
          <w:sz w:val="24"/>
          <w:lang w:eastAsia="zh-CN"/>
        </w:rPr>
        <w:t>招标文件</w:t>
      </w:r>
      <w:r>
        <w:rPr>
          <w:rFonts w:hint="eastAsia" w:ascii="宋体" w:hAnsi="宋体" w:eastAsia="宋体" w:cs="宋体"/>
          <w:color w:val="000000"/>
          <w:sz w:val="24"/>
        </w:rPr>
        <w:t>的组成部分。</w:t>
      </w:r>
    </w:p>
    <w:p>
      <w:pPr>
        <w:pStyle w:val="16"/>
        <w:jc w:val="center"/>
        <w:rPr>
          <w:rFonts w:hint="eastAsia" w:ascii="宋体" w:hAnsi="宋体" w:eastAsia="宋体" w:cs="宋体"/>
          <w:color w:val="000000"/>
          <w:lang w:eastAsia="zh-CN"/>
        </w:rPr>
      </w:pPr>
      <w:bookmarkStart w:id="52" w:name="_Toc144974510"/>
      <w:bookmarkStart w:id="53" w:name="_Toc152045542"/>
      <w:bookmarkStart w:id="54" w:name="_Toc55238638"/>
      <w:bookmarkStart w:id="55" w:name="_Toc152042318"/>
      <w:r>
        <w:rPr>
          <w:rFonts w:hint="eastAsia" w:ascii="宋体" w:hAnsi="宋体" w:eastAsia="宋体" w:cs="宋体"/>
          <w:b/>
          <w:bCs/>
          <w:color w:val="000000"/>
        </w:rPr>
        <w:br w:type="page"/>
      </w:r>
      <w:r>
        <w:rPr>
          <w:rFonts w:hint="eastAsia" w:ascii="宋体" w:hAnsi="宋体" w:eastAsia="宋体" w:cs="宋体"/>
          <w:b/>
          <w:bCs/>
          <w:color w:val="000000"/>
        </w:rPr>
        <w:t xml:space="preserve">第二章 </w:t>
      </w:r>
      <w:bookmarkEnd w:id="52"/>
      <w:bookmarkEnd w:id="53"/>
      <w:bookmarkEnd w:id="54"/>
      <w:bookmarkEnd w:id="55"/>
      <w:r>
        <w:rPr>
          <w:rFonts w:hint="eastAsia" w:ascii="宋体" w:hAnsi="宋体" w:eastAsia="宋体" w:cs="宋体"/>
          <w:b/>
          <w:bCs/>
          <w:color w:val="000000"/>
          <w:lang w:eastAsia="zh-CN"/>
        </w:rPr>
        <w:t>招标文件</w:t>
      </w:r>
    </w:p>
    <w:p>
      <w:pPr>
        <w:pStyle w:val="17"/>
        <w:rPr>
          <w:rFonts w:hint="eastAsia" w:ascii="宋体" w:hAnsi="宋体" w:eastAsia="宋体" w:cs="宋体"/>
          <w:color w:val="000000"/>
          <w:sz w:val="28"/>
          <w:szCs w:val="28"/>
        </w:rPr>
      </w:pPr>
      <w:bookmarkStart w:id="56" w:name="_Toc152045543"/>
      <w:bookmarkStart w:id="57" w:name="_Toc152042319"/>
      <w:bookmarkStart w:id="58" w:name="_Toc55238639"/>
      <w:bookmarkStart w:id="59" w:name="_Toc144974511"/>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招标文件</w:t>
      </w:r>
      <w:r>
        <w:rPr>
          <w:rFonts w:hint="eastAsia" w:ascii="宋体" w:hAnsi="宋体" w:eastAsia="宋体" w:cs="宋体"/>
          <w:color w:val="000000"/>
          <w:sz w:val="28"/>
          <w:szCs w:val="28"/>
        </w:rPr>
        <w:t>的组成</w:t>
      </w:r>
      <w:bookmarkEnd w:id="56"/>
      <w:bookmarkEnd w:id="57"/>
      <w:bookmarkEnd w:id="58"/>
      <w:bookmarkEnd w:id="59"/>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本</w:t>
      </w:r>
      <w:r>
        <w:rPr>
          <w:rFonts w:hint="eastAsia" w:ascii="宋体" w:hAnsi="宋体" w:cs="宋体"/>
          <w:color w:val="000000"/>
          <w:sz w:val="24"/>
          <w:lang w:eastAsia="zh-CN"/>
        </w:rPr>
        <w:t>招标文件</w:t>
      </w:r>
      <w:r>
        <w:rPr>
          <w:rFonts w:hint="eastAsia" w:ascii="宋体" w:hAnsi="宋体" w:eastAsia="宋体" w:cs="宋体"/>
          <w:color w:val="000000"/>
          <w:sz w:val="24"/>
        </w:rPr>
        <w:t>包括：</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eastAsia="宋体" w:cs="宋体"/>
          <w:color w:val="000000"/>
          <w:sz w:val="24"/>
          <w:lang w:eastAsia="zh-CN"/>
        </w:rPr>
        <w:t>1</w:t>
      </w:r>
      <w:r>
        <w:rPr>
          <w:rFonts w:hint="eastAsia" w:ascii="宋体" w:hAnsi="宋体" w:eastAsia="宋体" w:cs="宋体"/>
          <w:color w:val="000000"/>
          <w:sz w:val="24"/>
        </w:rPr>
        <w:t>）投标人须知；</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cs="宋体"/>
          <w:color w:val="000000"/>
          <w:sz w:val="24"/>
          <w:lang w:val="en-US" w:eastAsia="zh-CN"/>
        </w:rPr>
        <w:t>2</w:t>
      </w:r>
      <w:r>
        <w:rPr>
          <w:rFonts w:hint="eastAsia" w:ascii="宋体" w:hAnsi="宋体" w:eastAsia="宋体" w:cs="宋体"/>
          <w:color w:val="000000"/>
          <w:sz w:val="24"/>
        </w:rPr>
        <w:t>）项目需求；</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cs="宋体"/>
          <w:color w:val="000000"/>
          <w:sz w:val="24"/>
          <w:lang w:val="en-US" w:eastAsia="zh-CN"/>
        </w:rPr>
        <w:t>3</w:t>
      </w:r>
      <w:r>
        <w:rPr>
          <w:rFonts w:hint="eastAsia" w:ascii="宋体" w:hAnsi="宋体" w:eastAsia="宋体" w:cs="宋体"/>
          <w:color w:val="000000"/>
          <w:sz w:val="24"/>
        </w:rPr>
        <w:t>）合同；</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cs="宋体"/>
          <w:color w:val="000000"/>
          <w:sz w:val="24"/>
          <w:lang w:val="en-US" w:eastAsia="zh-CN"/>
        </w:rPr>
        <w:t>4</w:t>
      </w:r>
      <w:r>
        <w:rPr>
          <w:rFonts w:hint="eastAsia" w:ascii="宋体" w:hAnsi="宋体" w:eastAsia="宋体" w:cs="宋体"/>
          <w:color w:val="000000"/>
          <w:sz w:val="24"/>
        </w:rPr>
        <w:t>）投标文件格式。</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对</w:t>
      </w:r>
      <w:r>
        <w:rPr>
          <w:rFonts w:hint="eastAsia" w:ascii="宋体" w:hAnsi="宋体" w:cs="宋体"/>
          <w:color w:val="000000"/>
          <w:sz w:val="24"/>
          <w:lang w:eastAsia="zh-CN"/>
        </w:rPr>
        <w:t>招标文件</w:t>
      </w:r>
      <w:r>
        <w:rPr>
          <w:rFonts w:hint="eastAsia" w:ascii="宋体" w:hAnsi="宋体" w:eastAsia="宋体" w:cs="宋体"/>
          <w:color w:val="000000"/>
          <w:sz w:val="24"/>
        </w:rPr>
        <w:t>所作的澄清、修改，构成</w:t>
      </w:r>
      <w:r>
        <w:rPr>
          <w:rFonts w:hint="eastAsia" w:ascii="宋体" w:hAnsi="宋体" w:cs="宋体"/>
          <w:color w:val="000000"/>
          <w:sz w:val="24"/>
          <w:lang w:eastAsia="zh-CN"/>
        </w:rPr>
        <w:t>招标文件</w:t>
      </w:r>
      <w:r>
        <w:rPr>
          <w:rFonts w:hint="eastAsia" w:ascii="宋体" w:hAnsi="宋体" w:eastAsia="宋体" w:cs="宋体"/>
          <w:color w:val="000000"/>
          <w:sz w:val="24"/>
        </w:rPr>
        <w:t>的组成部分。</w:t>
      </w:r>
    </w:p>
    <w:p>
      <w:pPr>
        <w:pStyle w:val="17"/>
        <w:rPr>
          <w:rFonts w:hint="eastAsia" w:ascii="宋体" w:hAnsi="宋体" w:eastAsia="宋体" w:cs="宋体"/>
          <w:color w:val="000000"/>
          <w:sz w:val="28"/>
          <w:szCs w:val="28"/>
        </w:rPr>
      </w:pPr>
      <w:bookmarkStart w:id="60" w:name="_Toc144974512"/>
      <w:bookmarkStart w:id="61" w:name="_Toc55238640"/>
      <w:bookmarkStart w:id="62" w:name="_Toc152042320"/>
      <w:bookmarkStart w:id="63" w:name="_Toc152045544"/>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招标文件</w:t>
      </w:r>
      <w:r>
        <w:rPr>
          <w:rFonts w:hint="eastAsia" w:ascii="宋体" w:hAnsi="宋体" w:eastAsia="宋体" w:cs="宋体"/>
          <w:color w:val="000000"/>
          <w:sz w:val="28"/>
          <w:szCs w:val="28"/>
        </w:rPr>
        <w:t>的澄清</w:t>
      </w:r>
      <w:bookmarkEnd w:id="60"/>
      <w:bookmarkEnd w:id="61"/>
      <w:bookmarkEnd w:id="62"/>
      <w:bookmarkEnd w:id="63"/>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1</w:t>
      </w:r>
      <w:r>
        <w:rPr>
          <w:rFonts w:hint="eastAsia" w:ascii="宋体" w:hAnsi="宋体" w:eastAsia="宋体" w:cs="宋体"/>
          <w:color w:val="000000"/>
          <w:sz w:val="24"/>
        </w:rPr>
        <w:t>.1投标人应仔细阅读和检查</w:t>
      </w:r>
      <w:r>
        <w:rPr>
          <w:rFonts w:hint="eastAsia" w:ascii="宋体" w:hAnsi="宋体" w:cs="宋体"/>
          <w:color w:val="000000"/>
          <w:sz w:val="24"/>
          <w:lang w:eastAsia="zh-CN"/>
        </w:rPr>
        <w:t>招标文件</w:t>
      </w:r>
      <w:r>
        <w:rPr>
          <w:rFonts w:hint="eastAsia" w:ascii="宋体" w:hAnsi="宋体" w:eastAsia="宋体" w:cs="宋体"/>
          <w:color w:val="000000"/>
          <w:sz w:val="24"/>
        </w:rPr>
        <w:t>的全部内容。</w:t>
      </w:r>
      <w:r>
        <w:rPr>
          <w:rFonts w:hint="eastAsia" w:ascii="宋体" w:hAnsi="宋体" w:eastAsia="宋体" w:cs="宋体"/>
          <w:color w:val="000000"/>
          <w:sz w:val="24"/>
          <w:szCs w:val="24"/>
        </w:rPr>
        <w:t>如发现缺页或附件不全，应及时向招标人或</w:t>
      </w:r>
      <w:r>
        <w:rPr>
          <w:rFonts w:hint="eastAsia" w:ascii="宋体" w:hAnsi="宋体" w:eastAsia="宋体" w:cs="宋体"/>
          <w:color w:val="000000"/>
          <w:sz w:val="24"/>
          <w:szCs w:val="24"/>
          <w:lang w:eastAsia="zh-CN"/>
        </w:rPr>
        <w:t>深圳交易集团有限公司龙岗分公司</w:t>
      </w:r>
      <w:r>
        <w:rPr>
          <w:rFonts w:hint="eastAsia" w:ascii="宋体" w:hAnsi="宋体" w:eastAsia="宋体" w:cs="宋体"/>
          <w:color w:val="000000"/>
          <w:sz w:val="24"/>
          <w:szCs w:val="24"/>
        </w:rPr>
        <w:t>提出，以便补齐。</w:t>
      </w:r>
      <w:r>
        <w:rPr>
          <w:rFonts w:hint="eastAsia" w:ascii="宋体" w:hAnsi="宋体" w:eastAsia="宋体" w:cs="宋体"/>
          <w:color w:val="000000"/>
          <w:sz w:val="24"/>
        </w:rPr>
        <w:t>如有疑问，应在</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规定的时间前以书面形式（包含数据电文），要求招标人对</w:t>
      </w:r>
      <w:r>
        <w:rPr>
          <w:rFonts w:hint="eastAsia" w:ascii="宋体" w:hAnsi="宋体" w:cs="宋体"/>
          <w:color w:val="000000"/>
          <w:sz w:val="24"/>
          <w:lang w:eastAsia="zh-CN"/>
        </w:rPr>
        <w:t>招标文件</w:t>
      </w:r>
      <w:r>
        <w:rPr>
          <w:rFonts w:hint="eastAsia" w:ascii="宋体" w:hAnsi="宋体" w:eastAsia="宋体" w:cs="宋体"/>
          <w:color w:val="000000"/>
          <w:sz w:val="24"/>
        </w:rPr>
        <w:t>予以澄清。</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1</w:t>
      </w:r>
      <w:r>
        <w:rPr>
          <w:rFonts w:hint="eastAsia" w:ascii="宋体" w:hAnsi="宋体" w:eastAsia="宋体" w:cs="宋体"/>
          <w:color w:val="000000"/>
          <w:sz w:val="24"/>
        </w:rPr>
        <w:t xml:space="preserve">.2 </w:t>
      </w:r>
      <w:r>
        <w:rPr>
          <w:rFonts w:hint="eastAsia" w:ascii="宋体" w:hAnsi="宋体" w:cs="宋体"/>
          <w:color w:val="000000"/>
          <w:sz w:val="24"/>
          <w:lang w:eastAsia="zh-CN"/>
        </w:rPr>
        <w:t>招标文件</w:t>
      </w:r>
      <w:r>
        <w:rPr>
          <w:rFonts w:hint="eastAsia" w:ascii="宋体" w:hAnsi="宋体" w:eastAsia="宋体" w:cs="宋体"/>
          <w:color w:val="000000"/>
          <w:sz w:val="24"/>
        </w:rPr>
        <w:t>的澄清将在</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规定的投标文件递交截止时间15天前，在</w:t>
      </w: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rPr>
        <w:t>网站</w:t>
      </w:r>
      <w:r>
        <w:rPr>
          <w:rFonts w:hint="eastAsia" w:ascii="宋体" w:hAnsi="宋体" w:eastAsia="宋体" w:cs="宋体"/>
          <w:kern w:val="0"/>
          <w:sz w:val="24"/>
          <w:szCs w:val="24"/>
        </w:rPr>
        <w:t>上以公告形式予以发布</w:t>
      </w:r>
      <w:r>
        <w:rPr>
          <w:rFonts w:hint="eastAsia" w:ascii="宋体" w:hAnsi="宋体" w:eastAsia="宋体" w:cs="宋体"/>
          <w:color w:val="000000"/>
          <w:sz w:val="24"/>
        </w:rPr>
        <w:t>，但不指明澄清问题的来源。如果澄清发出的时间距投标文件递交截止时间不足15天，相应延长投标文件递交截止时间。</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1</w:t>
      </w:r>
      <w:r>
        <w:rPr>
          <w:rFonts w:hint="eastAsia" w:ascii="宋体" w:hAnsi="宋体" w:eastAsia="宋体" w:cs="宋体"/>
          <w:color w:val="000000"/>
          <w:sz w:val="24"/>
        </w:rPr>
        <w:t>.3</w:t>
      </w:r>
      <w:r>
        <w:rPr>
          <w:rFonts w:hint="eastAsia" w:ascii="宋体" w:hAnsi="宋体" w:cs="宋体"/>
          <w:color w:val="000000"/>
          <w:sz w:val="24"/>
          <w:lang w:eastAsia="zh-CN"/>
        </w:rPr>
        <w:t>招标文件</w:t>
      </w:r>
      <w:r>
        <w:rPr>
          <w:rFonts w:hint="eastAsia" w:ascii="宋体" w:hAnsi="宋体" w:eastAsia="宋体" w:cs="宋体"/>
          <w:color w:val="000000"/>
          <w:sz w:val="24"/>
        </w:rPr>
        <w:t>的澄清在</w:t>
      </w: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rPr>
        <w:t>网站</w:t>
      </w:r>
      <w:r>
        <w:rPr>
          <w:rFonts w:hint="eastAsia" w:ascii="宋体" w:hAnsi="宋体" w:eastAsia="宋体" w:cs="宋体"/>
          <w:kern w:val="0"/>
          <w:sz w:val="24"/>
          <w:szCs w:val="24"/>
        </w:rPr>
        <w:t>上公布后，即视为已送达各投标人。</w:t>
      </w:r>
    </w:p>
    <w:p>
      <w:pPr>
        <w:pStyle w:val="17"/>
        <w:rPr>
          <w:rFonts w:hint="eastAsia" w:ascii="宋体" w:hAnsi="宋体" w:eastAsia="宋体" w:cs="宋体"/>
          <w:color w:val="000000"/>
          <w:sz w:val="28"/>
          <w:szCs w:val="28"/>
        </w:rPr>
      </w:pPr>
      <w:bookmarkStart w:id="64" w:name="_Toc152045545"/>
      <w:bookmarkStart w:id="65" w:name="_Toc55238641"/>
      <w:bookmarkStart w:id="66" w:name="_Toc152042321"/>
      <w:bookmarkStart w:id="67" w:name="_Toc144974513"/>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招标文件</w:t>
      </w:r>
      <w:r>
        <w:rPr>
          <w:rFonts w:hint="eastAsia" w:ascii="宋体" w:hAnsi="宋体" w:eastAsia="宋体" w:cs="宋体"/>
          <w:color w:val="000000"/>
          <w:sz w:val="28"/>
          <w:szCs w:val="28"/>
        </w:rPr>
        <w:t>的修改</w:t>
      </w:r>
      <w:bookmarkEnd w:id="64"/>
      <w:bookmarkEnd w:id="65"/>
      <w:bookmarkEnd w:id="66"/>
      <w:bookmarkEnd w:id="67"/>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2</w:t>
      </w:r>
      <w:r>
        <w:rPr>
          <w:rFonts w:hint="eastAsia" w:ascii="宋体" w:hAnsi="宋体" w:eastAsia="宋体" w:cs="宋体"/>
          <w:color w:val="000000"/>
          <w:sz w:val="24"/>
        </w:rPr>
        <w:t>.1在投标截止时间1</w:t>
      </w:r>
      <w:r>
        <w:rPr>
          <w:rFonts w:hint="eastAsia" w:ascii="宋体" w:hAnsi="宋体" w:eastAsia="宋体" w:cs="宋体"/>
          <w:color w:val="000000"/>
          <w:sz w:val="24"/>
          <w:lang w:val="en-US" w:eastAsia="zh-CN"/>
        </w:rPr>
        <w:t>0</w:t>
      </w:r>
      <w:r>
        <w:rPr>
          <w:rFonts w:hint="eastAsia" w:ascii="宋体" w:hAnsi="宋体" w:eastAsia="宋体" w:cs="宋体"/>
          <w:color w:val="000000"/>
          <w:sz w:val="24"/>
        </w:rPr>
        <w:t>天前，招标人可以通过</w:t>
      </w:r>
      <w:r>
        <w:rPr>
          <w:rFonts w:hint="eastAsia" w:ascii="宋体" w:hAnsi="宋体" w:eastAsia="宋体" w:cs="宋体"/>
          <w:kern w:val="0"/>
          <w:sz w:val="24"/>
          <w:szCs w:val="24"/>
          <w:lang w:eastAsia="zh-CN"/>
        </w:rPr>
        <w:t>深圳交易集团有限公司龙岗分公司</w:t>
      </w:r>
      <w:r>
        <w:rPr>
          <w:rFonts w:hint="eastAsia" w:ascii="宋体" w:hAnsi="宋体" w:eastAsia="宋体" w:cs="宋体"/>
          <w:color w:val="000000"/>
          <w:sz w:val="24"/>
        </w:rPr>
        <w:t>以公告形式修改</w:t>
      </w:r>
      <w:r>
        <w:rPr>
          <w:rFonts w:hint="eastAsia" w:ascii="宋体" w:hAnsi="宋体" w:cs="宋体"/>
          <w:color w:val="000000"/>
          <w:sz w:val="24"/>
          <w:lang w:eastAsia="zh-CN"/>
        </w:rPr>
        <w:t>招标文件</w:t>
      </w:r>
      <w:r>
        <w:rPr>
          <w:rFonts w:hint="eastAsia" w:ascii="宋体" w:hAnsi="宋体" w:eastAsia="宋体" w:cs="宋体"/>
          <w:color w:val="000000"/>
          <w:sz w:val="24"/>
        </w:rPr>
        <w:t>。如果修改</w:t>
      </w:r>
      <w:r>
        <w:rPr>
          <w:rFonts w:hint="eastAsia" w:ascii="宋体" w:hAnsi="宋体" w:cs="宋体"/>
          <w:color w:val="000000"/>
          <w:sz w:val="24"/>
          <w:lang w:eastAsia="zh-CN"/>
        </w:rPr>
        <w:t>招标文件</w:t>
      </w:r>
      <w:r>
        <w:rPr>
          <w:rFonts w:hint="eastAsia" w:ascii="宋体" w:hAnsi="宋体" w:eastAsia="宋体" w:cs="宋体"/>
          <w:color w:val="000000"/>
          <w:sz w:val="24"/>
        </w:rPr>
        <w:t>的时间距投标截止时间不足1</w:t>
      </w:r>
      <w:r>
        <w:rPr>
          <w:rFonts w:hint="eastAsia" w:ascii="宋体" w:hAnsi="宋体" w:eastAsia="宋体" w:cs="宋体"/>
          <w:color w:val="000000"/>
          <w:sz w:val="24"/>
          <w:lang w:eastAsia="zh-CN"/>
        </w:rPr>
        <w:t>0</w:t>
      </w:r>
      <w:r>
        <w:rPr>
          <w:rFonts w:hint="eastAsia" w:ascii="宋体" w:hAnsi="宋体" w:eastAsia="宋体" w:cs="宋体"/>
          <w:color w:val="000000"/>
          <w:sz w:val="24"/>
        </w:rPr>
        <w:t xml:space="preserve">天，相应延长投标截止时间。 </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2</w:t>
      </w:r>
      <w:r>
        <w:rPr>
          <w:rFonts w:hint="eastAsia" w:ascii="宋体" w:hAnsi="宋体" w:eastAsia="宋体" w:cs="宋体"/>
          <w:color w:val="000000"/>
          <w:sz w:val="24"/>
        </w:rPr>
        <w:t>.2</w:t>
      </w:r>
      <w:r>
        <w:rPr>
          <w:rFonts w:hint="eastAsia" w:ascii="宋体" w:hAnsi="宋体" w:cs="宋体"/>
          <w:color w:val="000000"/>
          <w:sz w:val="24"/>
          <w:lang w:eastAsia="zh-CN"/>
        </w:rPr>
        <w:t>招标文件</w:t>
      </w:r>
      <w:r>
        <w:rPr>
          <w:rFonts w:hint="eastAsia" w:ascii="宋体" w:hAnsi="宋体" w:eastAsia="宋体" w:cs="宋体"/>
          <w:color w:val="000000"/>
          <w:sz w:val="24"/>
        </w:rPr>
        <w:t>的修改在</w:t>
      </w: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rPr>
        <w:t>网站</w:t>
      </w:r>
      <w:r>
        <w:rPr>
          <w:rFonts w:hint="eastAsia" w:ascii="宋体" w:hAnsi="宋体" w:eastAsia="宋体" w:cs="宋体"/>
          <w:kern w:val="0"/>
          <w:sz w:val="24"/>
          <w:szCs w:val="24"/>
        </w:rPr>
        <w:t>上公布后，即视为已送达各投标人。</w:t>
      </w:r>
    </w:p>
    <w:p>
      <w:pPr>
        <w:pStyle w:val="16"/>
        <w:jc w:val="center"/>
        <w:rPr>
          <w:rFonts w:hint="eastAsia" w:ascii="宋体" w:hAnsi="宋体" w:eastAsia="宋体" w:cs="宋体"/>
          <w:b/>
          <w:bCs/>
          <w:color w:val="000000"/>
        </w:rPr>
      </w:pPr>
      <w:bookmarkStart w:id="68" w:name="_Toc152042322"/>
      <w:bookmarkStart w:id="69" w:name="_Toc144974514"/>
      <w:bookmarkStart w:id="70" w:name="_Toc152045546"/>
      <w:bookmarkStart w:id="71" w:name="_Toc55238642"/>
      <w:r>
        <w:rPr>
          <w:rFonts w:hint="eastAsia" w:ascii="宋体" w:hAnsi="宋体" w:eastAsia="宋体" w:cs="宋体"/>
          <w:b/>
          <w:bCs/>
          <w:color w:val="000000"/>
        </w:rPr>
        <w:br w:type="page"/>
      </w:r>
      <w:r>
        <w:rPr>
          <w:rFonts w:hint="eastAsia" w:ascii="宋体" w:hAnsi="宋体" w:eastAsia="宋体" w:cs="宋体"/>
          <w:b/>
          <w:bCs/>
          <w:color w:val="000000"/>
        </w:rPr>
        <w:t>第三章 投标文件</w:t>
      </w:r>
      <w:bookmarkEnd w:id="68"/>
      <w:bookmarkEnd w:id="69"/>
      <w:bookmarkEnd w:id="70"/>
      <w:bookmarkEnd w:id="71"/>
    </w:p>
    <w:p>
      <w:pPr>
        <w:pStyle w:val="17"/>
        <w:rPr>
          <w:rFonts w:hint="eastAsia" w:ascii="宋体" w:hAnsi="宋体" w:eastAsia="宋体" w:cs="宋体"/>
          <w:color w:val="000000"/>
          <w:sz w:val="28"/>
          <w:szCs w:val="28"/>
        </w:rPr>
      </w:pPr>
      <w:bookmarkStart w:id="72" w:name="_Toc152042323"/>
      <w:bookmarkStart w:id="73" w:name="_Toc55238643"/>
      <w:bookmarkStart w:id="74" w:name="_Toc152045547"/>
      <w:bookmarkStart w:id="75" w:name="_Toc144974515"/>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 投标文件的组成</w:t>
      </w:r>
      <w:bookmarkEnd w:id="72"/>
      <w:bookmarkEnd w:id="73"/>
      <w:bookmarkEnd w:id="74"/>
      <w:bookmarkEnd w:id="75"/>
    </w:p>
    <w:p>
      <w:pPr>
        <w:spacing w:line="400" w:lineRule="exact"/>
        <w:rPr>
          <w:rFonts w:hint="eastAsia" w:ascii="宋体" w:hAnsi="宋体" w:eastAsia="宋体" w:cs="宋体"/>
          <w:color w:val="000000"/>
          <w:sz w:val="24"/>
        </w:rPr>
      </w:pPr>
      <w:r>
        <w:rPr>
          <w:rFonts w:hint="eastAsia" w:ascii="宋体" w:hAnsi="宋体" w:eastAsia="宋体" w:cs="宋体"/>
          <w:color w:val="000000"/>
          <w:sz w:val="24"/>
        </w:rPr>
        <w:t>　　1</w:t>
      </w:r>
      <w:r>
        <w:rPr>
          <w:rFonts w:hint="eastAsia" w:ascii="宋体" w:hAnsi="宋体" w:cs="宋体"/>
          <w:color w:val="000000"/>
          <w:sz w:val="24"/>
          <w:lang w:val="en-US" w:eastAsia="zh-CN"/>
        </w:rPr>
        <w:t>3</w:t>
      </w:r>
      <w:r>
        <w:rPr>
          <w:rFonts w:hint="eastAsia" w:ascii="宋体" w:hAnsi="宋体" w:eastAsia="宋体" w:cs="宋体"/>
          <w:color w:val="000000"/>
          <w:sz w:val="24"/>
        </w:rPr>
        <w:t>.1投标文件应包括下列内容：</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（1）投标函</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eastAsia="宋体" w:cs="宋体"/>
          <w:color w:val="000000"/>
          <w:sz w:val="24"/>
          <w:lang w:eastAsia="zh-CN"/>
        </w:rPr>
        <w:t>投标报价</w:t>
      </w:r>
      <w:r>
        <w:rPr>
          <w:rFonts w:hint="eastAsia" w:ascii="宋体" w:hAnsi="宋体" w:eastAsia="宋体" w:cs="宋体"/>
          <w:color w:val="000000"/>
          <w:sz w:val="24"/>
        </w:rPr>
        <w:t>表</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（3）集体所得利益保障承诺</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（4）诚信承诺函</w:t>
      </w:r>
    </w:p>
    <w:p>
      <w:pPr>
        <w:spacing w:line="400" w:lineRule="exact"/>
        <w:ind w:firstLine="410" w:firstLineChars="171"/>
        <w:rPr>
          <w:rFonts w:hint="eastAsia" w:ascii="宋体" w:hAnsi="宋体" w:eastAsia="宋体" w:cs="宋体"/>
          <w:color w:val="000000"/>
          <w:sz w:val="24"/>
          <w:lang w:eastAsia="zh-CN"/>
        </w:rPr>
      </w:pPr>
      <w:r>
        <w:rPr>
          <w:rFonts w:hint="eastAsia" w:ascii="宋体" w:hAnsi="宋体" w:eastAsia="宋体" w:cs="宋体"/>
          <w:color w:val="000000"/>
          <w:sz w:val="24"/>
        </w:rPr>
        <w:t>（5）法定代表人证明书</w:t>
      </w:r>
      <w:r>
        <w:rPr>
          <w:rFonts w:hint="eastAsia" w:ascii="宋体" w:hAnsi="宋体" w:eastAsia="宋体" w:cs="宋体"/>
          <w:color w:val="000000"/>
          <w:sz w:val="24"/>
          <w:lang w:eastAsia="zh-CN"/>
        </w:rPr>
        <w:t>、</w:t>
      </w:r>
      <w:r>
        <w:rPr>
          <w:rFonts w:hint="eastAsia" w:ascii="宋体" w:hAnsi="宋体" w:eastAsia="宋体" w:cs="宋体"/>
          <w:color w:val="000000"/>
          <w:sz w:val="24"/>
        </w:rPr>
        <w:t>法定代表人授权委托书</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cs="宋体"/>
          <w:color w:val="000000"/>
          <w:sz w:val="24"/>
          <w:lang w:val="en-US" w:eastAsia="zh-CN"/>
        </w:rPr>
        <w:t>6</w:t>
      </w:r>
      <w:r>
        <w:rPr>
          <w:rFonts w:hint="eastAsia" w:ascii="宋体" w:hAnsi="宋体" w:eastAsia="宋体" w:cs="宋体"/>
          <w:color w:val="000000"/>
          <w:sz w:val="24"/>
        </w:rPr>
        <w:t>）营业执照复印件（加盖公章）</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cs="宋体"/>
          <w:color w:val="000000"/>
          <w:sz w:val="24"/>
          <w:lang w:val="en-US" w:eastAsia="zh-CN"/>
        </w:rPr>
        <w:t>7</w:t>
      </w:r>
      <w:r>
        <w:rPr>
          <w:rFonts w:hint="eastAsia" w:ascii="宋体" w:hAnsi="宋体" w:eastAsia="宋体" w:cs="宋体"/>
          <w:color w:val="000000"/>
          <w:sz w:val="24"/>
        </w:rPr>
        <w:t>）</w:t>
      </w:r>
      <w:r>
        <w:rPr>
          <w:rFonts w:hint="eastAsia" w:ascii="宋体" w:hAnsi="宋体" w:eastAsia="宋体" w:cs="宋体"/>
          <w:color w:val="000000"/>
          <w:sz w:val="24"/>
          <w:lang w:val="en-US" w:eastAsia="zh-CN"/>
        </w:rPr>
        <w:t>2021</w:t>
      </w:r>
      <w:r>
        <w:rPr>
          <w:rFonts w:hint="eastAsia" w:ascii="宋体" w:hAnsi="宋体" w:eastAsia="宋体" w:cs="宋体"/>
          <w:color w:val="000000"/>
          <w:sz w:val="24"/>
        </w:rPr>
        <w:t>年度</w:t>
      </w:r>
      <w:r>
        <w:rPr>
          <w:rFonts w:hint="eastAsia" w:ascii="宋体" w:hAnsi="宋体" w:eastAsia="宋体" w:cs="宋体"/>
          <w:color w:val="000000"/>
          <w:sz w:val="24"/>
          <w:lang w:eastAsia="zh-CN"/>
        </w:rPr>
        <w:t>年度</w:t>
      </w:r>
      <w:r>
        <w:rPr>
          <w:rFonts w:hint="eastAsia" w:ascii="宋体" w:hAnsi="宋体" w:eastAsia="宋体" w:cs="宋体"/>
          <w:color w:val="000000"/>
          <w:sz w:val="24"/>
        </w:rPr>
        <w:t>审计报告</w:t>
      </w:r>
      <w:r>
        <w:rPr>
          <w:rFonts w:hint="eastAsia" w:ascii="宋体" w:hAnsi="宋体" w:eastAsia="宋体" w:cs="宋体"/>
          <w:color w:val="000000"/>
          <w:sz w:val="24"/>
          <w:lang w:eastAsia="zh-CN"/>
        </w:rPr>
        <w:t>或</w:t>
      </w:r>
      <w:r>
        <w:rPr>
          <w:rFonts w:hint="eastAsia" w:ascii="宋体" w:hAnsi="宋体" w:eastAsia="宋体" w:cs="宋体"/>
          <w:color w:val="000000"/>
          <w:sz w:val="24"/>
          <w:lang w:val="en-US" w:eastAsia="zh-CN"/>
        </w:rPr>
        <w:t>2022年上半年度审计报告</w:t>
      </w:r>
    </w:p>
    <w:p>
      <w:pPr>
        <w:spacing w:line="400" w:lineRule="exact"/>
        <w:ind w:firstLine="410" w:firstLineChars="171"/>
        <w:rPr>
          <w:rFonts w:hint="eastAsia" w:ascii="宋体" w:hAnsi="宋体" w:eastAsia="宋体" w:cs="宋体"/>
          <w:color w:val="000000"/>
          <w:sz w:val="24"/>
          <w:lang w:val="en-US" w:eastAsia="zh-CN"/>
        </w:rPr>
      </w:pPr>
      <w:r>
        <w:rPr>
          <w:rFonts w:hint="eastAsia" w:ascii="宋体" w:hAnsi="宋体" w:eastAsia="宋体" w:cs="宋体"/>
          <w:color w:val="000000"/>
          <w:sz w:val="24"/>
        </w:rPr>
        <w:t>（</w:t>
      </w:r>
      <w:r>
        <w:rPr>
          <w:rFonts w:hint="eastAsia" w:ascii="宋体" w:hAnsi="宋体" w:cs="宋体"/>
          <w:color w:val="000000"/>
          <w:sz w:val="24"/>
          <w:lang w:val="en-US" w:eastAsia="zh-CN"/>
        </w:rPr>
        <w:t>8</w:t>
      </w:r>
      <w:r>
        <w:rPr>
          <w:rFonts w:hint="eastAsia" w:ascii="宋体" w:hAnsi="宋体" w:eastAsia="宋体" w:cs="宋体"/>
          <w:color w:val="000000"/>
          <w:sz w:val="24"/>
        </w:rPr>
        <w:t>）合作开发经验证明材料（加盖公章）</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w:t>
      </w:r>
      <w:r>
        <w:rPr>
          <w:rFonts w:hint="eastAsia" w:ascii="宋体" w:hAnsi="宋体" w:cs="宋体"/>
          <w:color w:val="000000"/>
          <w:sz w:val="24"/>
          <w:lang w:val="en-US" w:eastAsia="zh-CN"/>
        </w:rPr>
        <w:t>9</w:t>
      </w:r>
      <w:r>
        <w:rPr>
          <w:rFonts w:hint="eastAsia" w:ascii="宋体" w:hAnsi="宋体" w:eastAsia="宋体" w:cs="宋体"/>
          <w:color w:val="000000"/>
          <w:sz w:val="24"/>
        </w:rPr>
        <w:t>）</w:t>
      </w:r>
      <w:r>
        <w:rPr>
          <w:rFonts w:hint="eastAsia" w:ascii="宋体" w:hAnsi="宋体" w:eastAsia="宋体" w:cs="宋体"/>
          <w:color w:val="000000"/>
          <w:sz w:val="24"/>
          <w:lang w:eastAsia="zh-CN"/>
        </w:rPr>
        <w:t>拆迁补偿进度承诺函</w:t>
      </w:r>
      <w:r>
        <w:rPr>
          <w:rFonts w:hint="eastAsia" w:ascii="宋体" w:hAnsi="宋体" w:eastAsia="宋体" w:cs="宋体"/>
          <w:color w:val="000000"/>
          <w:sz w:val="24"/>
          <w:lang w:val="en-US" w:eastAsia="zh-CN"/>
        </w:rPr>
        <w:t>(加盖公章）</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0</w:t>
      </w:r>
      <w:r>
        <w:rPr>
          <w:rFonts w:hint="eastAsia" w:ascii="宋体" w:hAnsi="宋体" w:eastAsia="宋体" w:cs="宋体"/>
          <w:color w:val="000000"/>
          <w:sz w:val="24"/>
        </w:rPr>
        <w:t>）</w:t>
      </w:r>
      <w:r>
        <w:rPr>
          <w:rFonts w:hint="eastAsia" w:ascii="宋体" w:hAnsi="宋体" w:eastAsia="宋体" w:cs="宋体"/>
          <w:color w:val="000000"/>
          <w:sz w:val="24"/>
          <w:lang w:eastAsia="zh-CN"/>
        </w:rPr>
        <w:t>回迁物业交房进度承诺函（加盖公章）</w:t>
      </w:r>
    </w:p>
    <w:p>
      <w:pPr>
        <w:spacing w:line="400" w:lineRule="exact"/>
        <w:ind w:firstLine="410" w:firstLineChars="171"/>
        <w:rPr>
          <w:rFonts w:hint="eastAsia" w:ascii="宋体" w:hAnsi="宋体" w:eastAsia="宋体" w:cs="宋体"/>
          <w:color w:val="000000"/>
          <w:sz w:val="24"/>
          <w:lang w:val="en-US" w:eastAsia="zh-CN"/>
        </w:rPr>
      </w:pPr>
      <w:r>
        <w:rPr>
          <w:rFonts w:hint="eastAsia" w:ascii="宋体" w:hAnsi="宋体" w:eastAsia="宋体" w:cs="宋体"/>
          <w:color w:val="000000"/>
          <w:sz w:val="24"/>
        </w:rPr>
        <w:t>（1</w:t>
      </w:r>
      <w:r>
        <w:rPr>
          <w:rFonts w:hint="eastAsia" w:ascii="宋体" w:hAnsi="宋体" w:cs="宋体"/>
          <w:color w:val="000000"/>
          <w:sz w:val="24"/>
          <w:lang w:val="en-US" w:eastAsia="zh-CN"/>
        </w:rPr>
        <w:t>1</w:t>
      </w:r>
      <w:r>
        <w:rPr>
          <w:rFonts w:hint="eastAsia" w:ascii="宋体" w:hAnsi="宋体" w:eastAsia="宋体" w:cs="宋体"/>
          <w:color w:val="000000"/>
          <w:sz w:val="24"/>
        </w:rPr>
        <w:t>）</w:t>
      </w:r>
      <w:r>
        <w:rPr>
          <w:rFonts w:hint="eastAsia" w:ascii="宋体" w:hAnsi="宋体" w:eastAsia="宋体" w:cs="宋体"/>
          <w:color w:val="000000"/>
          <w:sz w:val="24"/>
          <w:lang w:eastAsia="zh-CN"/>
        </w:rPr>
        <w:t>规划概念设计方案</w:t>
      </w:r>
    </w:p>
    <w:p>
      <w:pPr>
        <w:spacing w:line="400" w:lineRule="exact"/>
        <w:ind w:firstLine="410" w:firstLineChars="171"/>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2</w:t>
      </w:r>
      <w:r>
        <w:rPr>
          <w:rFonts w:hint="eastAsia" w:ascii="宋体" w:hAnsi="宋体" w:eastAsia="宋体" w:cs="宋体"/>
          <w:color w:val="000000"/>
          <w:sz w:val="24"/>
        </w:rPr>
        <w:t>）投标人认为需要提交的其他文件</w:t>
      </w:r>
    </w:p>
    <w:p>
      <w:pPr>
        <w:pStyle w:val="17"/>
        <w:rPr>
          <w:rFonts w:hint="eastAsia" w:ascii="宋体" w:hAnsi="宋体" w:eastAsia="宋体" w:cs="宋体"/>
          <w:color w:val="000000"/>
          <w:sz w:val="28"/>
          <w:szCs w:val="28"/>
        </w:rPr>
      </w:pPr>
      <w:bookmarkStart w:id="76" w:name="_Toc152045548"/>
      <w:bookmarkStart w:id="77" w:name="_Toc152042324"/>
      <w:bookmarkStart w:id="78" w:name="_Toc144974516"/>
      <w:bookmarkStart w:id="79" w:name="_Toc55238644"/>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bookmarkEnd w:id="76"/>
      <w:bookmarkEnd w:id="77"/>
      <w:bookmarkEnd w:id="78"/>
      <w:r>
        <w:rPr>
          <w:rFonts w:hint="eastAsia" w:ascii="宋体" w:hAnsi="宋体" w:eastAsia="宋体" w:cs="宋体"/>
          <w:color w:val="000000"/>
          <w:sz w:val="28"/>
          <w:szCs w:val="28"/>
        </w:rPr>
        <w:t>投标报价</w:t>
      </w:r>
      <w:bookmarkEnd w:id="79"/>
    </w:p>
    <w:p>
      <w:pPr>
        <w:spacing w:line="400" w:lineRule="exact"/>
        <w:ind w:firstLine="480" w:firstLineChars="200"/>
        <w:rPr>
          <w:rFonts w:hint="eastAsia" w:ascii="宋体" w:hAnsi="宋体" w:eastAsia="宋体" w:cs="宋体"/>
          <w:color w:val="000000"/>
          <w:sz w:val="24"/>
          <w:highlight w:val="yellow"/>
        </w:rPr>
      </w:pPr>
      <w:r>
        <w:rPr>
          <w:rFonts w:hint="eastAsia" w:ascii="宋体" w:hAnsi="宋体" w:eastAsia="宋体" w:cs="宋体"/>
          <w:color w:val="000000"/>
          <w:sz w:val="24"/>
        </w:rPr>
        <w:t>投标人应按第</w:t>
      </w:r>
      <w:r>
        <w:rPr>
          <w:rFonts w:hint="eastAsia" w:ascii="宋体" w:hAnsi="宋体" w:cs="宋体"/>
          <w:color w:val="000000"/>
          <w:sz w:val="24"/>
          <w:lang w:val="en-US" w:eastAsia="zh-CN"/>
        </w:rPr>
        <w:t xml:space="preserve">二 </w:t>
      </w:r>
      <w:r>
        <w:rPr>
          <w:rFonts w:hint="eastAsia" w:ascii="宋体" w:hAnsi="宋体" w:eastAsia="宋体" w:cs="宋体"/>
          <w:color w:val="000000"/>
          <w:sz w:val="24"/>
        </w:rPr>
        <w:t>部分“项目需求”的内容填</w:t>
      </w:r>
      <w:r>
        <w:rPr>
          <w:rFonts w:hint="eastAsia" w:ascii="宋体" w:hAnsi="宋体" w:eastAsia="宋体" w:cs="宋体"/>
          <w:color w:val="000000"/>
          <w:sz w:val="24"/>
          <w:highlight w:val="none"/>
        </w:rPr>
        <w:t>写</w:t>
      </w:r>
      <w:r>
        <w:rPr>
          <w:rFonts w:hint="eastAsia" w:ascii="宋体" w:hAnsi="宋体" w:cs="宋体"/>
          <w:color w:val="000000"/>
          <w:sz w:val="24"/>
          <w:highlight w:val="none"/>
          <w:lang w:val="en-US" w:eastAsia="zh-CN"/>
        </w:rPr>
        <w:t>投标报价</w:t>
      </w:r>
      <w:r>
        <w:rPr>
          <w:rFonts w:hint="eastAsia" w:ascii="宋体" w:hAnsi="宋体" w:eastAsia="宋体" w:cs="宋体"/>
          <w:color w:val="000000"/>
          <w:sz w:val="24"/>
          <w:highlight w:val="none"/>
        </w:rPr>
        <w:t>表。</w:t>
      </w:r>
    </w:p>
    <w:p>
      <w:pPr>
        <w:pStyle w:val="17"/>
        <w:rPr>
          <w:rFonts w:hint="eastAsia" w:ascii="宋体" w:hAnsi="宋体" w:eastAsia="宋体" w:cs="宋体"/>
          <w:color w:val="000000"/>
          <w:sz w:val="28"/>
          <w:szCs w:val="28"/>
        </w:rPr>
      </w:pPr>
      <w:bookmarkStart w:id="80" w:name="_Toc55238645"/>
      <w:bookmarkStart w:id="81" w:name="_Toc144974517"/>
      <w:bookmarkStart w:id="82" w:name="_Toc152042325"/>
      <w:bookmarkStart w:id="83" w:name="_Toc152045549"/>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5</w:t>
      </w:r>
      <w:r>
        <w:rPr>
          <w:rFonts w:hint="eastAsia" w:ascii="宋体" w:hAnsi="宋体" w:eastAsia="宋体" w:cs="宋体"/>
          <w:color w:val="000000"/>
          <w:sz w:val="28"/>
          <w:szCs w:val="28"/>
        </w:rPr>
        <w:t>. 投标有效期</w:t>
      </w:r>
      <w:bookmarkEnd w:id="80"/>
      <w:bookmarkEnd w:id="81"/>
      <w:bookmarkEnd w:id="82"/>
      <w:bookmarkEnd w:id="83"/>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5</w:t>
      </w:r>
      <w:r>
        <w:rPr>
          <w:rFonts w:hint="eastAsia" w:ascii="宋体" w:hAnsi="宋体" w:eastAsia="宋体" w:cs="宋体"/>
          <w:color w:val="000000"/>
          <w:sz w:val="24"/>
        </w:rPr>
        <w:t>.1 在</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规定的投标有效期内，投标人不得撤销或修改其投标文件。</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1</w:t>
      </w:r>
      <w:r>
        <w:rPr>
          <w:rFonts w:hint="eastAsia" w:ascii="宋体" w:hAnsi="宋体" w:cs="宋体"/>
          <w:color w:val="000000"/>
          <w:sz w:val="24"/>
          <w:lang w:val="en-US" w:eastAsia="zh-CN"/>
        </w:rPr>
        <w:t>5</w:t>
      </w:r>
      <w:r>
        <w:rPr>
          <w:rFonts w:hint="eastAsia" w:ascii="宋体" w:hAnsi="宋体" w:eastAsia="宋体" w:cs="宋体"/>
          <w:color w:val="000000"/>
          <w:sz w:val="24"/>
        </w:rPr>
        <w:t>.2出现特殊情况需要延长投标有效期的，招标人通过</w:t>
      </w:r>
      <w:r>
        <w:rPr>
          <w:rFonts w:hint="eastAsia" w:ascii="宋体" w:hAnsi="宋体" w:eastAsia="宋体" w:cs="宋体"/>
          <w:kern w:val="0"/>
          <w:sz w:val="24"/>
          <w:szCs w:val="24"/>
          <w:lang w:eastAsia="zh-CN"/>
        </w:rPr>
        <w:t>深圳交易集团有限公司龙岗分公司</w:t>
      </w:r>
      <w:r>
        <w:rPr>
          <w:rFonts w:hint="eastAsia" w:ascii="宋体" w:hAnsi="宋体" w:eastAsia="宋体" w:cs="宋体"/>
          <w:color w:val="000000"/>
          <w:sz w:val="24"/>
        </w:rPr>
        <w:t>以网上公告形式通知所有投标人延长投标有效期。投标人同意延长的，应相应延长其</w:t>
      </w:r>
      <w:r>
        <w:rPr>
          <w:rFonts w:hint="eastAsia" w:ascii="宋体" w:hAnsi="宋体" w:eastAsia="宋体" w:cs="宋体"/>
          <w:color w:val="000000"/>
          <w:sz w:val="24"/>
          <w:lang w:eastAsia="zh-CN"/>
        </w:rPr>
        <w:t>交易保证金</w:t>
      </w:r>
      <w:r>
        <w:rPr>
          <w:rFonts w:hint="eastAsia" w:ascii="宋体" w:hAnsi="宋体" w:eastAsia="宋体" w:cs="宋体"/>
          <w:color w:val="000000"/>
          <w:sz w:val="24"/>
        </w:rPr>
        <w:t>的有效期，但不得要求或被允许修改或撤销其投标文件；投标人拒绝延长的，其投标无效，但投标人有权收回其</w:t>
      </w:r>
      <w:r>
        <w:rPr>
          <w:rFonts w:hint="eastAsia" w:ascii="宋体" w:hAnsi="宋体" w:eastAsia="宋体" w:cs="宋体"/>
          <w:color w:val="000000"/>
          <w:sz w:val="24"/>
          <w:lang w:eastAsia="zh-CN"/>
        </w:rPr>
        <w:t>交易保证金</w:t>
      </w:r>
      <w:r>
        <w:rPr>
          <w:rFonts w:hint="eastAsia" w:ascii="宋体" w:hAnsi="宋体" w:eastAsia="宋体" w:cs="宋体"/>
          <w:color w:val="000000"/>
          <w:sz w:val="24"/>
        </w:rPr>
        <w:t xml:space="preserve">。 </w:t>
      </w:r>
    </w:p>
    <w:p>
      <w:pPr>
        <w:pStyle w:val="17"/>
        <w:rPr>
          <w:rFonts w:hint="eastAsia" w:ascii="宋体" w:hAnsi="宋体" w:eastAsia="宋体" w:cs="宋体"/>
          <w:color w:val="000000"/>
          <w:sz w:val="28"/>
          <w:szCs w:val="28"/>
          <w:lang w:eastAsia="zh-CN"/>
        </w:rPr>
      </w:pPr>
      <w:bookmarkStart w:id="84" w:name="_Toc55238646"/>
      <w:bookmarkStart w:id="85" w:name="_Toc144974518"/>
      <w:bookmarkStart w:id="86" w:name="_Toc152045550"/>
      <w:bookmarkStart w:id="87" w:name="_Toc152042326"/>
      <w:r>
        <w:rPr>
          <w:rFonts w:hint="eastAsia" w:ascii="宋体" w:hAnsi="宋体" w:eastAsia="宋体" w:cs="宋体"/>
          <w:color w:val="000000"/>
          <w:sz w:val="28"/>
          <w:szCs w:val="28"/>
          <w:lang w:val="en-US" w:eastAsia="zh-CN"/>
        </w:rPr>
        <w:t>16</w:t>
      </w:r>
      <w:r>
        <w:rPr>
          <w:rFonts w:hint="eastAsia" w:ascii="宋体" w:hAnsi="宋体" w:eastAsia="宋体" w:cs="宋体"/>
          <w:color w:val="000000"/>
          <w:sz w:val="28"/>
          <w:szCs w:val="28"/>
        </w:rPr>
        <w:t xml:space="preserve">. </w:t>
      </w:r>
      <w:bookmarkEnd w:id="84"/>
      <w:bookmarkEnd w:id="85"/>
      <w:bookmarkEnd w:id="86"/>
      <w:bookmarkEnd w:id="87"/>
      <w:r>
        <w:rPr>
          <w:rFonts w:hint="eastAsia" w:ascii="宋体" w:hAnsi="宋体" w:eastAsia="宋体" w:cs="宋体"/>
          <w:color w:val="000000"/>
          <w:sz w:val="28"/>
          <w:szCs w:val="28"/>
          <w:lang w:eastAsia="zh-CN"/>
        </w:rPr>
        <w:t>交易保证金</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16</w:t>
      </w:r>
      <w:r>
        <w:rPr>
          <w:rFonts w:hint="eastAsia" w:ascii="宋体" w:hAnsi="宋体" w:eastAsia="宋体" w:cs="宋体"/>
          <w:color w:val="000000"/>
          <w:sz w:val="24"/>
        </w:rPr>
        <w:t>.1投标人应在投标文件递交截止时间前向</w:t>
      </w:r>
      <w:r>
        <w:rPr>
          <w:rFonts w:hint="eastAsia" w:ascii="宋体" w:hAnsi="宋体" w:eastAsia="宋体" w:cs="宋体"/>
          <w:kern w:val="0"/>
          <w:sz w:val="24"/>
          <w:szCs w:val="24"/>
          <w:lang w:eastAsia="zh-CN"/>
        </w:rPr>
        <w:t>深圳交易集团有限公司龙岗分公司</w:t>
      </w:r>
      <w:r>
        <w:rPr>
          <w:rFonts w:hint="eastAsia" w:ascii="宋体" w:hAnsi="宋体" w:eastAsia="宋体" w:cs="宋体"/>
          <w:color w:val="000000"/>
          <w:sz w:val="24"/>
        </w:rPr>
        <w:t>交纳</w:t>
      </w:r>
      <w:r>
        <w:rPr>
          <w:rFonts w:hint="eastAsia" w:ascii="宋体" w:hAnsi="宋体" w:eastAsia="宋体" w:cs="宋体"/>
          <w:color w:val="000000"/>
          <w:sz w:val="24"/>
          <w:lang w:eastAsia="zh-CN"/>
        </w:rPr>
        <w:t>交易保证金</w:t>
      </w:r>
      <w:r>
        <w:rPr>
          <w:rFonts w:hint="eastAsia" w:ascii="宋体" w:hAnsi="宋体" w:eastAsia="宋体" w:cs="宋体"/>
          <w:sz w:val="24"/>
          <w:szCs w:val="24"/>
        </w:rPr>
        <w:t>（</w:t>
      </w:r>
      <w:r>
        <w:rPr>
          <w:rFonts w:hint="eastAsia" w:ascii="宋体" w:hAnsi="宋体" w:eastAsia="宋体" w:cs="宋体"/>
          <w:b/>
          <w:bCs/>
          <w:sz w:val="24"/>
          <w:szCs w:val="24"/>
          <w:lang w:eastAsia="zh-CN"/>
        </w:rPr>
        <w:t>交易保证金</w:t>
      </w:r>
      <w:r>
        <w:rPr>
          <w:rFonts w:hint="eastAsia" w:ascii="宋体" w:hAnsi="宋体" w:eastAsia="宋体" w:cs="宋体"/>
          <w:b/>
          <w:bCs/>
          <w:sz w:val="24"/>
          <w:szCs w:val="24"/>
        </w:rPr>
        <w:t>交纳信息详见交易公告</w:t>
      </w:r>
      <w:r>
        <w:rPr>
          <w:rFonts w:hint="eastAsia" w:ascii="宋体" w:hAnsi="宋体" w:eastAsia="宋体" w:cs="宋体"/>
          <w:sz w:val="24"/>
          <w:szCs w:val="24"/>
        </w:rPr>
        <w:t>）</w:t>
      </w:r>
      <w:r>
        <w:rPr>
          <w:rFonts w:hint="eastAsia" w:ascii="宋体" w:hAnsi="宋体" w:eastAsia="宋体" w:cs="宋体"/>
          <w:color w:val="000000"/>
          <w:sz w:val="24"/>
        </w:rPr>
        <w:t>，</w:t>
      </w:r>
      <w:r>
        <w:rPr>
          <w:rFonts w:hint="eastAsia" w:ascii="宋体" w:hAnsi="宋体" w:eastAsia="宋体" w:cs="宋体"/>
          <w:color w:val="000000"/>
          <w:sz w:val="24"/>
          <w:lang w:eastAsia="zh-CN"/>
        </w:rPr>
        <w:t>交易保证金</w:t>
      </w:r>
      <w:r>
        <w:rPr>
          <w:rFonts w:hint="eastAsia" w:ascii="宋体" w:hAnsi="宋体" w:eastAsia="宋体" w:cs="宋体"/>
          <w:color w:val="000000"/>
          <w:sz w:val="24"/>
        </w:rPr>
        <w:t>以银行实际到账时间为准。</w:t>
      </w:r>
    </w:p>
    <w:p>
      <w:pPr>
        <w:spacing w:line="400" w:lineRule="exact"/>
        <w:ind w:firstLine="480" w:firstLineChars="200"/>
        <w:rPr>
          <w:rFonts w:hint="eastAsia" w:ascii="宋体" w:hAnsi="宋体" w:eastAsia="宋体" w:cs="宋体"/>
          <w:sz w:val="24"/>
        </w:rPr>
      </w:pPr>
      <w:r>
        <w:rPr>
          <w:rFonts w:hint="eastAsia" w:ascii="宋体" w:hAnsi="宋体" w:cs="宋体"/>
          <w:color w:val="000000"/>
          <w:sz w:val="24"/>
          <w:lang w:val="en-US" w:eastAsia="zh-CN"/>
        </w:rPr>
        <w:t>16</w:t>
      </w:r>
      <w:r>
        <w:rPr>
          <w:rFonts w:hint="eastAsia" w:ascii="宋体" w:hAnsi="宋体" w:eastAsia="宋体" w:cs="宋体"/>
          <w:color w:val="000000"/>
          <w:sz w:val="24"/>
        </w:rPr>
        <w:t>.2</w:t>
      </w:r>
      <w:r>
        <w:rPr>
          <w:rFonts w:hint="eastAsia" w:ascii="宋体" w:hAnsi="宋体" w:eastAsia="宋体" w:cs="宋体"/>
          <w:color w:val="000000"/>
          <w:sz w:val="24"/>
          <w:lang w:eastAsia="zh-CN"/>
        </w:rPr>
        <w:t>交易保证金</w:t>
      </w:r>
      <w:r>
        <w:rPr>
          <w:rFonts w:hint="eastAsia" w:ascii="宋体" w:hAnsi="宋体" w:eastAsia="宋体" w:cs="宋体"/>
          <w:sz w:val="24"/>
        </w:rPr>
        <w:t>是为了招标人免因投标人的行为而蒙受损失。必须以投标人的公司账户支付</w:t>
      </w:r>
      <w:r>
        <w:rPr>
          <w:rFonts w:hint="eastAsia" w:ascii="宋体" w:hAnsi="宋体" w:eastAsia="宋体" w:cs="宋体"/>
          <w:sz w:val="24"/>
          <w:lang w:eastAsia="zh-CN"/>
        </w:rPr>
        <w:t>交易保证金</w:t>
      </w:r>
      <w:r>
        <w:rPr>
          <w:rFonts w:hint="eastAsia" w:ascii="宋体" w:hAnsi="宋体" w:eastAsia="宋体" w:cs="宋体"/>
          <w:sz w:val="24"/>
        </w:rPr>
        <w:t>。</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16</w:t>
      </w:r>
      <w:r>
        <w:rPr>
          <w:rFonts w:hint="eastAsia" w:ascii="宋体" w:hAnsi="宋体" w:eastAsia="宋体" w:cs="宋体"/>
          <w:color w:val="000000"/>
          <w:sz w:val="24"/>
        </w:rPr>
        <w:t>.3交纳</w:t>
      </w:r>
      <w:r>
        <w:rPr>
          <w:rFonts w:hint="eastAsia" w:ascii="宋体" w:hAnsi="宋体" w:eastAsia="宋体" w:cs="宋体"/>
          <w:color w:val="000000"/>
          <w:sz w:val="24"/>
          <w:lang w:eastAsia="zh-CN"/>
        </w:rPr>
        <w:t>交易保证金</w:t>
      </w:r>
      <w:r>
        <w:rPr>
          <w:rFonts w:hint="eastAsia" w:ascii="宋体" w:hAnsi="宋体" w:eastAsia="宋体" w:cs="宋体"/>
          <w:color w:val="000000"/>
          <w:sz w:val="24"/>
        </w:rPr>
        <w:t>应一律从投标人基本账户转出,否则按隐瞒真实情况，提供虚假资料处理。取消现金汇款等交纳方式，禁止个人银行结算账户转出和第三方代交。</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16</w:t>
      </w:r>
      <w:r>
        <w:rPr>
          <w:rFonts w:hint="eastAsia" w:ascii="宋体" w:hAnsi="宋体" w:eastAsia="宋体" w:cs="宋体"/>
          <w:color w:val="000000"/>
          <w:sz w:val="24"/>
        </w:rPr>
        <w:t>.4</w:t>
      </w:r>
      <w:r>
        <w:rPr>
          <w:rFonts w:hint="eastAsia" w:ascii="宋体" w:hAnsi="宋体" w:eastAsia="宋体" w:cs="宋体"/>
          <w:color w:val="000000"/>
          <w:sz w:val="24"/>
          <w:lang w:eastAsia="zh-CN"/>
        </w:rPr>
        <w:t>交易保证金</w:t>
      </w:r>
      <w:r>
        <w:rPr>
          <w:rFonts w:hint="eastAsia" w:ascii="宋体" w:hAnsi="宋体" w:eastAsia="宋体" w:cs="宋体"/>
          <w:color w:val="000000"/>
          <w:sz w:val="24"/>
        </w:rPr>
        <w:t>应于交易公告规定时间前交于交易公告指定账户。</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16</w:t>
      </w:r>
      <w:r>
        <w:rPr>
          <w:rFonts w:hint="eastAsia" w:ascii="宋体" w:hAnsi="宋体" w:eastAsia="宋体" w:cs="宋体"/>
          <w:color w:val="000000"/>
          <w:sz w:val="24"/>
        </w:rPr>
        <w:t>.5 在投标时，凡没有交纳</w:t>
      </w:r>
      <w:r>
        <w:rPr>
          <w:rFonts w:hint="eastAsia" w:ascii="宋体" w:hAnsi="宋体" w:eastAsia="宋体" w:cs="宋体"/>
          <w:color w:val="000000"/>
          <w:sz w:val="24"/>
          <w:lang w:eastAsia="zh-CN"/>
        </w:rPr>
        <w:t>交易保证金</w:t>
      </w:r>
      <w:r>
        <w:rPr>
          <w:rFonts w:hint="eastAsia" w:ascii="宋体" w:hAnsi="宋体" w:eastAsia="宋体" w:cs="宋体"/>
          <w:color w:val="000000"/>
          <w:sz w:val="24"/>
        </w:rPr>
        <w:t>的投标，应视为非响应性投标予以拒绝。</w:t>
      </w:r>
    </w:p>
    <w:p>
      <w:pPr>
        <w:spacing w:line="400" w:lineRule="exact"/>
        <w:ind w:firstLine="480" w:firstLineChars="200"/>
        <w:rPr>
          <w:rFonts w:hint="eastAsia" w:ascii="宋体" w:hAnsi="宋体" w:eastAsia="宋体" w:cs="宋体"/>
          <w:kern w:val="0"/>
          <w:sz w:val="24"/>
          <w:szCs w:val="24"/>
        </w:rPr>
      </w:pPr>
      <w:r>
        <w:rPr>
          <w:rFonts w:hint="eastAsia" w:ascii="宋体" w:hAnsi="宋体" w:cs="宋体"/>
          <w:color w:val="000000"/>
          <w:sz w:val="24"/>
          <w:lang w:val="en-US" w:eastAsia="zh-CN"/>
        </w:rPr>
        <w:t>16</w:t>
      </w:r>
      <w:r>
        <w:rPr>
          <w:rFonts w:hint="eastAsia" w:ascii="宋体" w:hAnsi="宋体" w:eastAsia="宋体" w:cs="宋体"/>
          <w:color w:val="000000"/>
          <w:sz w:val="24"/>
        </w:rPr>
        <w:t>.6未被确定为合作方的竞投人，凭交款凭证由深圳交易集团有限公司龙岗分公司在办理退还交易保证金手续次日起5个工作日内全额原路无息退回</w:t>
      </w:r>
      <w:r>
        <w:rPr>
          <w:rFonts w:hint="eastAsia" w:ascii="宋体" w:hAnsi="宋体" w:eastAsia="宋体" w:cs="宋体"/>
          <w:kern w:val="0"/>
          <w:sz w:val="24"/>
          <w:szCs w:val="24"/>
        </w:rPr>
        <w:t>。</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16</w:t>
      </w:r>
      <w:r>
        <w:rPr>
          <w:rFonts w:hint="eastAsia" w:ascii="宋体" w:hAnsi="宋体" w:eastAsia="宋体" w:cs="宋体"/>
          <w:color w:val="000000"/>
          <w:sz w:val="24"/>
        </w:rPr>
        <w:t>.7如意向合作方成为合作方，在签订合作开发协议后，其前期交纳给招商方4620万元及深圳市力元吓股份合作公司380万元的意向保证金，合计5000万元意向保证金自动转为本项目履约保证金（招商方4620万元、深圳市力元吓股份合作公司380万元）；如因意向合作方原因未与招商方及7个自然村股份公司签署合作开发协议的，取消其合作方资格，上述合作意向保证金不予退还。在取得《成交凭证》后5个工作日内交易保证金由交易集团全额原路无息退回给意向合作方。如非意向合作方成为合作方，合作方交纳的交易保证金由交易集团在签订合作开发协议后5个工作日内划转至招商方、深圳市力元吓股份合作公司指定账户作为履约保证金（招商方4620万元、深圳市力元吓股份合作公司380万元）。</w:t>
      </w:r>
    </w:p>
    <w:p>
      <w:pPr>
        <w:pStyle w:val="17"/>
        <w:rPr>
          <w:rFonts w:hint="default" w:ascii="宋体" w:hAnsi="宋体" w:eastAsia="宋体" w:cs="宋体"/>
          <w:color w:val="000000"/>
          <w:sz w:val="28"/>
          <w:szCs w:val="28"/>
          <w:lang w:val="en-US" w:eastAsia="zh-CN"/>
        </w:rPr>
      </w:pPr>
      <w:bookmarkStart w:id="219" w:name="_GoBack"/>
      <w:bookmarkEnd w:id="219"/>
      <w:r>
        <w:rPr>
          <w:rFonts w:hint="eastAsia" w:ascii="宋体" w:hAnsi="宋体" w:eastAsia="宋体" w:cs="宋体"/>
          <w:color w:val="000000"/>
          <w:sz w:val="28"/>
          <w:szCs w:val="28"/>
          <w:lang w:val="en-US" w:eastAsia="zh-CN"/>
        </w:rPr>
        <w:t>17</w:t>
      </w:r>
      <w:r>
        <w:rPr>
          <w:rFonts w:hint="eastAsia" w:ascii="宋体" w:hAnsi="宋体" w:eastAsia="宋体" w:cs="宋体"/>
          <w:color w:val="000000"/>
          <w:sz w:val="28"/>
          <w:szCs w:val="28"/>
          <w:lang w:eastAsia="zh-CN"/>
        </w:rPr>
        <w:t xml:space="preserve">. </w:t>
      </w:r>
      <w:r>
        <w:rPr>
          <w:rFonts w:hint="eastAsia" w:ascii="宋体" w:hAnsi="宋体" w:eastAsia="宋体" w:cs="宋体"/>
          <w:color w:val="000000"/>
          <w:sz w:val="28"/>
          <w:szCs w:val="28"/>
          <w:lang w:val="en-US" w:eastAsia="zh-CN"/>
        </w:rPr>
        <w:t>不退还保证金情形</w:t>
      </w:r>
    </w:p>
    <w:p>
      <w:pPr>
        <w:widowControl/>
        <w:spacing w:beforeLines="0" w:afterLines="0" w:line="240" w:lineRule="auto"/>
        <w:ind w:firstLine="484" w:firstLineChars="202"/>
        <w:jc w:val="left"/>
        <w:rPr>
          <w:rFonts w:hint="eastAsia" w:ascii="宋体" w:hAnsi="宋体" w:eastAsia="宋体" w:cs="宋体"/>
          <w:color w:val="000000"/>
          <w:sz w:val="24"/>
        </w:rPr>
      </w:pPr>
      <w:r>
        <w:rPr>
          <w:rFonts w:hint="eastAsia" w:ascii="宋体" w:hAnsi="宋体" w:eastAsia="宋体" w:cs="宋体"/>
          <w:color w:val="000000"/>
          <w:sz w:val="24"/>
        </w:rPr>
        <w:t>下</w:t>
      </w:r>
      <w:r>
        <w:rPr>
          <w:rFonts w:hint="eastAsia" w:ascii="宋体" w:hAnsi="宋体" w:eastAsia="宋体" w:cs="宋体"/>
          <w:kern w:val="0"/>
          <w:sz w:val="24"/>
          <w:szCs w:val="24"/>
        </w:rPr>
        <w:t>列任何情况发生时，</w:t>
      </w:r>
      <w:r>
        <w:rPr>
          <w:rFonts w:hint="eastAsia" w:ascii="宋体" w:hAnsi="宋体" w:eastAsia="宋体" w:cs="宋体"/>
          <w:kern w:val="0"/>
          <w:sz w:val="24"/>
          <w:szCs w:val="24"/>
          <w:lang w:eastAsia="zh-CN"/>
        </w:rPr>
        <w:t>交易保证金</w:t>
      </w:r>
      <w:r>
        <w:rPr>
          <w:rFonts w:hint="eastAsia" w:ascii="宋体" w:hAnsi="宋体" w:eastAsia="宋体" w:cs="宋体"/>
          <w:kern w:val="0"/>
          <w:sz w:val="24"/>
          <w:szCs w:val="24"/>
        </w:rPr>
        <w:t>将不予退回，</w:t>
      </w:r>
      <w:r>
        <w:rPr>
          <w:rFonts w:hint="eastAsia" w:ascii="宋体" w:hAnsi="宋体" w:eastAsia="宋体" w:cs="宋体"/>
          <w:kern w:val="0"/>
          <w:sz w:val="24"/>
          <w:szCs w:val="24"/>
          <w:lang w:eastAsia="zh-CN"/>
        </w:rPr>
        <w:t>深圳交易集团有限公司龙岗分公司</w:t>
      </w:r>
      <w:r>
        <w:rPr>
          <w:rFonts w:hint="eastAsia" w:ascii="宋体" w:hAnsi="宋体" w:eastAsia="宋体" w:cs="宋体"/>
          <w:kern w:val="0"/>
          <w:sz w:val="24"/>
          <w:szCs w:val="24"/>
        </w:rPr>
        <w:t>在扣除交易服务费后，将剩余的</w:t>
      </w:r>
      <w:r>
        <w:rPr>
          <w:rFonts w:hint="eastAsia" w:ascii="宋体" w:hAnsi="宋体" w:eastAsia="宋体" w:cs="宋体"/>
          <w:kern w:val="0"/>
          <w:sz w:val="24"/>
          <w:szCs w:val="24"/>
          <w:lang w:eastAsia="zh-CN"/>
        </w:rPr>
        <w:t>交易保证金</w:t>
      </w:r>
      <w:r>
        <w:rPr>
          <w:rFonts w:hint="eastAsia" w:ascii="宋体" w:hAnsi="宋体" w:eastAsia="宋体" w:cs="宋体"/>
          <w:kern w:val="0"/>
          <w:sz w:val="24"/>
          <w:szCs w:val="24"/>
        </w:rPr>
        <w:t>转给招标人：</w:t>
      </w:r>
    </w:p>
    <w:p>
      <w:pPr>
        <w:widowControl/>
        <w:spacing w:beforeLines="0" w:afterLines="0" w:line="24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（1）投标人在截止递交投标文件时间后撤销投标文件；</w:t>
      </w:r>
    </w:p>
    <w:p>
      <w:pPr>
        <w:widowControl/>
        <w:spacing w:beforeLines="0" w:afterLines="0" w:line="24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（2）投标人出现围标、串标情形；</w:t>
      </w:r>
    </w:p>
    <w:p>
      <w:pPr>
        <w:widowControl/>
        <w:spacing w:beforeLines="0" w:afterLines="0" w:line="24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（3）投标人因提供虚假情况被提起异议或投诉且异议或投诉成立的；</w:t>
      </w:r>
    </w:p>
    <w:p>
      <w:pPr>
        <w:widowControl/>
        <w:spacing w:beforeLines="0" w:afterLines="0" w:line="24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（4）中标人在项目中标后，无正当理由拒签合同的；</w:t>
      </w:r>
    </w:p>
    <w:p>
      <w:pPr>
        <w:widowControl/>
        <w:spacing w:beforeLines="0" w:afterLines="0" w:line="240" w:lineRule="auto"/>
        <w:ind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（5）法律法规规定的其它情况。</w:t>
      </w:r>
    </w:p>
    <w:p>
      <w:pPr>
        <w:pStyle w:val="17"/>
        <w:rPr>
          <w:rFonts w:hint="eastAsia" w:ascii="宋体" w:hAnsi="宋体" w:eastAsia="宋体" w:cs="宋体"/>
          <w:color w:val="000000"/>
          <w:sz w:val="28"/>
          <w:szCs w:val="28"/>
          <w:lang w:eastAsia="zh-CN"/>
        </w:rPr>
      </w:pPr>
      <w:bookmarkStart w:id="88" w:name="_Toc152042330"/>
      <w:bookmarkStart w:id="89" w:name="_Toc144974522"/>
      <w:bookmarkStart w:id="90" w:name="_Toc152045554"/>
      <w:bookmarkStart w:id="91" w:name="_Toc55238648"/>
      <w:r>
        <w:rPr>
          <w:rFonts w:hint="eastAsia" w:ascii="宋体" w:hAnsi="宋体" w:eastAsia="宋体" w:cs="宋体"/>
          <w:color w:val="000000"/>
          <w:sz w:val="28"/>
          <w:szCs w:val="28"/>
          <w:lang w:val="en-US" w:eastAsia="zh-CN"/>
        </w:rPr>
        <w:t>18</w:t>
      </w:r>
      <w:r>
        <w:rPr>
          <w:rFonts w:hint="eastAsia" w:ascii="宋体" w:hAnsi="宋体" w:eastAsia="宋体" w:cs="宋体"/>
          <w:color w:val="000000"/>
          <w:sz w:val="28"/>
          <w:szCs w:val="28"/>
          <w:lang w:eastAsia="zh-CN"/>
        </w:rPr>
        <w:t>. 投标文件的编制</w:t>
      </w:r>
      <w:bookmarkEnd w:id="88"/>
      <w:bookmarkEnd w:id="89"/>
      <w:bookmarkEnd w:id="90"/>
      <w:bookmarkEnd w:id="91"/>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18</w:t>
      </w:r>
      <w:r>
        <w:rPr>
          <w:rFonts w:hint="eastAsia" w:ascii="宋体" w:hAnsi="宋体" w:eastAsia="宋体" w:cs="宋体"/>
          <w:color w:val="000000"/>
          <w:sz w:val="24"/>
        </w:rPr>
        <w:t>.1投标文件应按“投标文件格式”进行编写，如有必要，可以增加附页，作为投标文件的组成部分。其中，投标函在满足</w:t>
      </w:r>
      <w:r>
        <w:rPr>
          <w:rFonts w:hint="eastAsia" w:ascii="宋体" w:hAnsi="宋体" w:cs="宋体"/>
          <w:color w:val="000000"/>
          <w:sz w:val="24"/>
          <w:lang w:eastAsia="zh-CN"/>
        </w:rPr>
        <w:t>招标文件</w:t>
      </w:r>
      <w:r>
        <w:rPr>
          <w:rFonts w:hint="eastAsia" w:ascii="宋体" w:hAnsi="宋体" w:eastAsia="宋体" w:cs="宋体"/>
          <w:color w:val="000000"/>
          <w:sz w:val="24"/>
        </w:rPr>
        <w:t>实质性要求的基础上，可以提出比</w:t>
      </w:r>
      <w:r>
        <w:rPr>
          <w:rFonts w:hint="eastAsia" w:ascii="宋体" w:hAnsi="宋体" w:cs="宋体"/>
          <w:color w:val="000000"/>
          <w:sz w:val="24"/>
          <w:lang w:eastAsia="zh-CN"/>
        </w:rPr>
        <w:t>招标文件</w:t>
      </w:r>
      <w:r>
        <w:rPr>
          <w:rFonts w:hint="eastAsia" w:ascii="宋体" w:hAnsi="宋体" w:eastAsia="宋体" w:cs="宋体"/>
          <w:color w:val="000000"/>
          <w:sz w:val="24"/>
        </w:rPr>
        <w:t>要求更有利于招标人的承诺。</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18</w:t>
      </w:r>
      <w:r>
        <w:rPr>
          <w:rFonts w:hint="eastAsia" w:ascii="宋体" w:hAnsi="宋体" w:eastAsia="宋体" w:cs="宋体"/>
          <w:color w:val="000000"/>
          <w:sz w:val="24"/>
        </w:rPr>
        <w:t>.2 投标文件应当对</w:t>
      </w:r>
      <w:r>
        <w:rPr>
          <w:rFonts w:hint="eastAsia" w:ascii="宋体" w:hAnsi="宋体" w:cs="宋体"/>
          <w:color w:val="000000"/>
          <w:sz w:val="24"/>
          <w:lang w:eastAsia="zh-CN"/>
        </w:rPr>
        <w:t>招标文件</w:t>
      </w:r>
      <w:r>
        <w:rPr>
          <w:rFonts w:hint="eastAsia" w:ascii="宋体" w:hAnsi="宋体" w:eastAsia="宋体" w:cs="宋体"/>
          <w:color w:val="000000"/>
          <w:sz w:val="24"/>
        </w:rPr>
        <w:t>有关</w:t>
      </w:r>
      <w:r>
        <w:rPr>
          <w:rFonts w:hint="eastAsia" w:ascii="宋体" w:hAnsi="宋体" w:eastAsia="宋体" w:cs="宋体"/>
          <w:color w:val="000000"/>
          <w:sz w:val="24"/>
          <w:szCs w:val="24"/>
        </w:rPr>
        <w:t>工期、投标有效期、质量要求、技术标准和要求、招标范围等实质性内容作出响应。投标文件须符合第</w:t>
      </w:r>
      <w:r>
        <w:rPr>
          <w:rFonts w:hint="eastAsia" w:ascii="宋体" w:hAnsi="宋体" w:cs="宋体"/>
          <w:color w:val="000000"/>
          <w:sz w:val="24"/>
          <w:szCs w:val="24"/>
          <w:lang w:val="en-US" w:eastAsia="zh-CN"/>
        </w:rPr>
        <w:t>二</w:t>
      </w:r>
      <w:r>
        <w:rPr>
          <w:rFonts w:hint="eastAsia" w:ascii="宋体" w:hAnsi="宋体" w:eastAsia="宋体" w:cs="宋体"/>
          <w:color w:val="000000"/>
          <w:sz w:val="24"/>
          <w:szCs w:val="24"/>
        </w:rPr>
        <w:t>部分“项目需求”规定，</w:t>
      </w:r>
      <w:r>
        <w:rPr>
          <w:rFonts w:hint="eastAsia" w:ascii="宋体" w:hAnsi="宋体" w:eastAsia="宋体" w:cs="宋体"/>
          <w:color w:val="000000"/>
          <w:sz w:val="24"/>
        </w:rPr>
        <w:t>包括但不限于：</w:t>
      </w:r>
    </w:p>
    <w:p>
      <w:pPr>
        <w:adjustRightInd w:val="0"/>
        <w:spacing w:beforeLines="0" w:afterLines="0" w:line="240" w:lineRule="auto"/>
        <w:ind w:firstLine="480" w:firstLineChars="200"/>
        <w:textAlignment w:val="baseline"/>
        <w:rPr>
          <w:rFonts w:hint="eastAsia" w:ascii="宋体" w:hAnsi="宋体" w:eastAsia="宋体" w:cs="宋体"/>
          <w:color w:val="000000"/>
          <w:sz w:val="24"/>
        </w:rPr>
      </w:pPr>
      <w:r>
        <w:rPr>
          <w:rFonts w:hint="eastAsia" w:ascii="宋体" w:hAnsi="宋体" w:eastAsia="宋体" w:cs="宋体"/>
          <w:color w:val="000000"/>
          <w:sz w:val="24"/>
        </w:rPr>
        <w:t>（1）技术偏离不得超出允许偏离的最大范围或最高项数；</w:t>
      </w:r>
    </w:p>
    <w:p>
      <w:pPr>
        <w:adjustRightInd w:val="0"/>
        <w:spacing w:beforeLines="0" w:afterLines="0" w:line="240" w:lineRule="auto"/>
        <w:ind w:firstLine="480" w:firstLineChars="200"/>
        <w:textAlignment w:val="baseline"/>
        <w:rPr>
          <w:rFonts w:hint="eastAsia" w:ascii="宋体" w:hAnsi="宋体" w:eastAsia="宋体" w:cs="宋体"/>
          <w:color w:val="000000"/>
          <w:sz w:val="24"/>
        </w:rPr>
      </w:pPr>
      <w:r>
        <w:rPr>
          <w:rFonts w:hint="eastAsia" w:ascii="宋体" w:hAnsi="宋体" w:eastAsia="宋体" w:cs="宋体"/>
          <w:color w:val="000000"/>
          <w:sz w:val="24"/>
        </w:rPr>
        <w:t>（2）技术方案须真实，不得虚假投标；</w:t>
      </w:r>
    </w:p>
    <w:p>
      <w:pPr>
        <w:adjustRightInd w:val="0"/>
        <w:spacing w:beforeLines="0" w:afterLines="0" w:line="240" w:lineRule="auto"/>
        <w:ind w:firstLine="480" w:firstLineChars="200"/>
        <w:textAlignment w:val="baseline"/>
        <w:rPr>
          <w:rFonts w:hint="eastAsia" w:ascii="宋体" w:hAnsi="宋体" w:eastAsia="宋体" w:cs="宋体"/>
          <w:color w:val="000000"/>
          <w:sz w:val="24"/>
        </w:rPr>
      </w:pPr>
      <w:r>
        <w:rPr>
          <w:rFonts w:hint="eastAsia" w:ascii="宋体" w:hAnsi="宋体" w:eastAsia="宋体" w:cs="宋体"/>
          <w:color w:val="000000"/>
          <w:sz w:val="24"/>
        </w:rPr>
        <w:t>（3）不得直接复制</w:t>
      </w:r>
      <w:r>
        <w:rPr>
          <w:rFonts w:hint="eastAsia" w:ascii="宋体" w:hAnsi="宋体" w:cs="宋体"/>
          <w:color w:val="000000"/>
          <w:sz w:val="24"/>
          <w:lang w:eastAsia="zh-CN"/>
        </w:rPr>
        <w:t>招标文件</w:t>
      </w:r>
      <w:r>
        <w:rPr>
          <w:rFonts w:hint="eastAsia" w:ascii="宋体" w:hAnsi="宋体" w:eastAsia="宋体" w:cs="宋体"/>
          <w:color w:val="000000"/>
          <w:sz w:val="24"/>
        </w:rPr>
        <w:t>的“项目需求”相关部分内容作为其投标文件的一部分；</w:t>
      </w:r>
    </w:p>
    <w:p>
      <w:pPr>
        <w:adjustRightInd w:val="0"/>
        <w:spacing w:beforeLines="0" w:afterLines="0" w:line="240" w:lineRule="auto"/>
        <w:ind w:firstLine="480" w:firstLineChars="200"/>
        <w:textAlignment w:val="baseline"/>
        <w:rPr>
          <w:rFonts w:hint="eastAsia" w:ascii="宋体" w:hAnsi="宋体" w:eastAsia="宋体" w:cs="宋体"/>
          <w:color w:val="000000"/>
          <w:sz w:val="24"/>
        </w:rPr>
      </w:pPr>
      <w:r>
        <w:rPr>
          <w:rFonts w:hint="eastAsia" w:ascii="宋体" w:hAnsi="宋体" w:eastAsia="宋体" w:cs="宋体"/>
          <w:color w:val="000000"/>
          <w:sz w:val="24"/>
        </w:rPr>
        <w:t>（4）须对本项目完整响应，不可将一个包中的内容拆开响应；</w:t>
      </w:r>
    </w:p>
    <w:p>
      <w:pPr>
        <w:adjustRightInd w:val="0"/>
        <w:spacing w:beforeLines="0" w:afterLines="0" w:line="240" w:lineRule="auto"/>
        <w:ind w:firstLine="480" w:firstLineChars="200"/>
        <w:textAlignment w:val="baseline"/>
        <w:rPr>
          <w:rFonts w:hint="eastAsia" w:ascii="宋体" w:hAnsi="宋体" w:eastAsia="宋体" w:cs="宋体"/>
          <w:color w:val="000000"/>
          <w:sz w:val="24"/>
        </w:rPr>
      </w:pPr>
      <w:r>
        <w:rPr>
          <w:rFonts w:hint="eastAsia" w:ascii="宋体" w:hAnsi="宋体" w:eastAsia="宋体" w:cs="宋体"/>
          <w:color w:val="000000"/>
          <w:sz w:val="24"/>
        </w:rPr>
        <w:t>（5）除非招标人认为有必要，投标人不得对同一项目同时提供两套或两套以上的投标人案；</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（6）技术方案须符合国家及行业强制性技术规范、技术标准；</w:t>
      </w:r>
    </w:p>
    <w:p>
      <w:pPr>
        <w:spacing w:beforeLines="0" w:afterLines="0"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rPr>
        <w:t>（7）必须满足</w:t>
      </w:r>
      <w:r>
        <w:rPr>
          <w:rFonts w:hint="eastAsia" w:ascii="宋体" w:hAnsi="宋体" w:cs="宋体"/>
          <w:color w:val="000000"/>
          <w:sz w:val="24"/>
          <w:lang w:eastAsia="zh-CN"/>
        </w:rPr>
        <w:t>招标文件</w:t>
      </w:r>
      <w:r>
        <w:rPr>
          <w:rFonts w:hint="eastAsia" w:ascii="宋体" w:hAnsi="宋体" w:eastAsia="宋体" w:cs="宋体"/>
          <w:color w:val="000000"/>
          <w:sz w:val="24"/>
        </w:rPr>
        <w:t>中关键性商务条款。</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18</w:t>
      </w:r>
      <w:r>
        <w:rPr>
          <w:rFonts w:hint="eastAsia" w:ascii="宋体" w:hAnsi="宋体" w:eastAsia="宋体" w:cs="宋体"/>
          <w:color w:val="000000"/>
          <w:sz w:val="24"/>
        </w:rPr>
        <w:t>.3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 xml:space="preserve">。 </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18</w:t>
      </w:r>
      <w:r>
        <w:rPr>
          <w:rFonts w:hint="eastAsia" w:ascii="宋体" w:hAnsi="宋体" w:eastAsia="宋体" w:cs="宋体"/>
          <w:color w:val="000000"/>
          <w:sz w:val="24"/>
        </w:rPr>
        <w:t xml:space="preserve">.4 </w:t>
      </w:r>
      <w:r>
        <w:rPr>
          <w:rFonts w:hint="eastAsia" w:ascii="宋体" w:hAnsi="宋体" w:eastAsia="宋体" w:cs="宋体"/>
          <w:sz w:val="24"/>
        </w:rPr>
        <w:t>投标文件正本一份, 副本和投标文件电子版份数</w:t>
      </w:r>
      <w:r>
        <w:rPr>
          <w:rFonts w:hint="eastAsia" w:ascii="宋体" w:hAnsi="宋体" w:eastAsia="宋体" w:cs="宋体"/>
          <w:color w:val="000000"/>
          <w:sz w:val="24"/>
        </w:rPr>
        <w:t>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。正本和副本的封面上应清楚地标记“正本”或“副本”的字样。当副本和正本不一致时，以正本为准。</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18</w:t>
      </w:r>
      <w:r>
        <w:rPr>
          <w:rFonts w:hint="eastAsia" w:ascii="宋体" w:hAnsi="宋体" w:eastAsia="宋体" w:cs="宋体"/>
          <w:color w:val="000000"/>
          <w:sz w:val="24"/>
        </w:rPr>
        <w:t>.5 投标文件的正本与副本应分别装订成册，并编制目录，具体装订要求见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w:t>
      </w:r>
    </w:p>
    <w:p>
      <w:pPr>
        <w:pStyle w:val="17"/>
        <w:rPr>
          <w:rFonts w:hint="eastAsia" w:ascii="宋体" w:hAnsi="宋体" w:eastAsia="宋体" w:cs="宋体"/>
          <w:color w:val="000000"/>
          <w:sz w:val="28"/>
          <w:szCs w:val="28"/>
        </w:rPr>
      </w:pPr>
      <w:bookmarkStart w:id="92" w:name="_Toc152045556"/>
      <w:bookmarkStart w:id="93" w:name="_Toc55238649"/>
      <w:bookmarkStart w:id="94" w:name="_Toc144974524"/>
      <w:bookmarkStart w:id="95" w:name="_Toc152042332"/>
      <w:r>
        <w:rPr>
          <w:rFonts w:hint="eastAsia" w:ascii="宋体" w:hAnsi="宋体" w:eastAsia="宋体" w:cs="宋体"/>
          <w:color w:val="000000"/>
          <w:sz w:val="28"/>
          <w:szCs w:val="28"/>
          <w:lang w:val="en-US" w:eastAsia="zh-CN"/>
        </w:rPr>
        <w:t>19</w:t>
      </w:r>
      <w:r>
        <w:rPr>
          <w:rFonts w:hint="eastAsia" w:ascii="宋体" w:hAnsi="宋体" w:eastAsia="宋体" w:cs="宋体"/>
          <w:color w:val="000000"/>
          <w:sz w:val="28"/>
          <w:szCs w:val="28"/>
        </w:rPr>
        <w:t>. 投标文件的密封和标记</w:t>
      </w:r>
      <w:bookmarkEnd w:id="92"/>
      <w:bookmarkEnd w:id="93"/>
      <w:bookmarkEnd w:id="94"/>
      <w:bookmarkEnd w:id="95"/>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19</w:t>
      </w:r>
      <w:r>
        <w:rPr>
          <w:rFonts w:hint="eastAsia" w:ascii="宋体" w:hAnsi="宋体" w:eastAsia="宋体" w:cs="宋体"/>
          <w:color w:val="000000"/>
          <w:sz w:val="24"/>
        </w:rPr>
        <w:t>.1</w:t>
      </w:r>
      <w:r>
        <w:rPr>
          <w:rFonts w:hint="eastAsia" w:ascii="宋体" w:hAnsi="宋体" w:eastAsia="宋体" w:cs="宋体"/>
          <w:color w:val="000000"/>
          <w:sz w:val="24"/>
          <w:szCs w:val="24"/>
        </w:rPr>
        <w:t>投标文件正本和副本、投标文件备份光盘（或U盘）应一起密封</w:t>
      </w:r>
      <w:r>
        <w:rPr>
          <w:rFonts w:hint="eastAsia" w:ascii="宋体" w:hAnsi="宋体" w:eastAsia="宋体" w:cs="宋体"/>
          <w:color w:val="000000"/>
          <w:sz w:val="24"/>
        </w:rPr>
        <w:t>，加贴封条，并在封套的封口处加盖投标人单位章。</w:t>
      </w:r>
    </w:p>
    <w:p>
      <w:pPr>
        <w:spacing w:line="400" w:lineRule="exact"/>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19</w:t>
      </w:r>
      <w:r>
        <w:rPr>
          <w:rFonts w:hint="eastAsia" w:ascii="宋体" w:hAnsi="宋体" w:eastAsia="宋体" w:cs="宋体"/>
          <w:color w:val="000000"/>
          <w:sz w:val="24"/>
        </w:rPr>
        <w:t>.2 投标文件的封套上应清楚地标记“投标文件”字样</w:t>
      </w:r>
      <w:r>
        <w:rPr>
          <w:rFonts w:hint="eastAsia" w:ascii="宋体" w:hAnsi="宋体" w:eastAsia="宋体" w:cs="宋体"/>
          <w:sz w:val="24"/>
        </w:rPr>
        <w:t>，</w:t>
      </w:r>
      <w:r>
        <w:rPr>
          <w:rFonts w:hint="eastAsia" w:ascii="宋体" w:hAnsi="宋体" w:eastAsia="宋体" w:cs="宋体"/>
          <w:color w:val="000000"/>
          <w:sz w:val="24"/>
        </w:rPr>
        <w:t>封套上应写明的其他内容见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w:t>
      </w:r>
    </w:p>
    <w:p>
      <w:pPr>
        <w:pStyle w:val="17"/>
        <w:rPr>
          <w:rFonts w:hint="eastAsia" w:ascii="宋体" w:hAnsi="宋体" w:eastAsia="宋体" w:cs="宋体"/>
          <w:color w:val="000000"/>
          <w:sz w:val="28"/>
          <w:szCs w:val="28"/>
        </w:rPr>
      </w:pPr>
      <w:bookmarkStart w:id="96" w:name="_Toc152042333"/>
      <w:bookmarkStart w:id="97" w:name="_Toc152045557"/>
      <w:bookmarkStart w:id="98" w:name="_Toc55238650"/>
      <w:bookmarkStart w:id="99" w:name="_Toc144974525"/>
      <w:r>
        <w:rPr>
          <w:rFonts w:hint="eastAsia" w:ascii="宋体" w:hAnsi="宋体" w:eastAsia="宋体" w:cs="宋体"/>
          <w:color w:val="000000"/>
          <w:sz w:val="28"/>
          <w:szCs w:val="28"/>
          <w:lang w:val="en-US" w:eastAsia="zh-CN"/>
        </w:rPr>
        <w:t>20</w:t>
      </w:r>
      <w:r>
        <w:rPr>
          <w:rFonts w:hint="eastAsia" w:ascii="宋体" w:hAnsi="宋体" w:eastAsia="宋体" w:cs="宋体"/>
          <w:color w:val="000000"/>
          <w:sz w:val="28"/>
          <w:szCs w:val="28"/>
        </w:rPr>
        <w:t>. 投标文件的递交</w:t>
      </w:r>
      <w:bookmarkEnd w:id="96"/>
      <w:bookmarkEnd w:id="97"/>
      <w:bookmarkEnd w:id="98"/>
      <w:bookmarkEnd w:id="99"/>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0</w:t>
      </w:r>
      <w:r>
        <w:rPr>
          <w:rFonts w:hint="eastAsia" w:ascii="宋体" w:hAnsi="宋体" w:eastAsia="宋体" w:cs="宋体"/>
          <w:color w:val="000000"/>
          <w:sz w:val="24"/>
        </w:rPr>
        <w:t>.1 投标人应按</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15.2款规定的投标文件递交截止时间前递交投标文件。</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0</w:t>
      </w:r>
      <w:r>
        <w:rPr>
          <w:rFonts w:hint="eastAsia" w:ascii="宋体" w:hAnsi="宋体" w:eastAsia="宋体" w:cs="宋体"/>
          <w:color w:val="000000"/>
          <w:sz w:val="24"/>
        </w:rPr>
        <w:t>.2 投标人递交投标文件的地点：见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0</w:t>
      </w:r>
      <w:r>
        <w:rPr>
          <w:rFonts w:hint="eastAsia" w:ascii="宋体" w:hAnsi="宋体" w:eastAsia="宋体" w:cs="宋体"/>
          <w:color w:val="000000"/>
          <w:sz w:val="24"/>
        </w:rPr>
        <w:t>.3 除</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另有规定外，投标人所递交的投标文件不予退还。</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0</w:t>
      </w:r>
      <w:r>
        <w:rPr>
          <w:rFonts w:hint="eastAsia" w:ascii="宋体" w:hAnsi="宋体" w:eastAsia="宋体" w:cs="宋体"/>
          <w:color w:val="000000"/>
          <w:sz w:val="24"/>
        </w:rPr>
        <w:t>.4 逾期送达的或者未送达指定地点的投标文件，</w:t>
      </w:r>
      <w:r>
        <w:rPr>
          <w:rFonts w:hint="eastAsia" w:ascii="宋体" w:hAnsi="宋体" w:eastAsia="宋体" w:cs="宋体"/>
          <w:color w:val="000000"/>
          <w:sz w:val="24"/>
          <w:lang w:eastAsia="zh-CN"/>
        </w:rPr>
        <w:t>深圳交易集团有限公司龙岗分公司</w:t>
      </w:r>
      <w:r>
        <w:rPr>
          <w:rFonts w:hint="eastAsia" w:ascii="宋体" w:hAnsi="宋体" w:eastAsia="宋体" w:cs="宋体"/>
          <w:color w:val="000000"/>
          <w:sz w:val="24"/>
        </w:rPr>
        <w:t>不予受理。</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0</w:t>
      </w:r>
      <w:r>
        <w:rPr>
          <w:rFonts w:hint="eastAsia" w:ascii="宋体" w:hAnsi="宋体" w:eastAsia="宋体" w:cs="宋体"/>
          <w:color w:val="000000"/>
          <w:sz w:val="24"/>
        </w:rPr>
        <w:t>.5 未按第23.1款或第23.2款要求密封和加写标记的投标文件，</w:t>
      </w:r>
      <w:r>
        <w:rPr>
          <w:rFonts w:hint="eastAsia" w:ascii="宋体" w:hAnsi="宋体" w:eastAsia="宋体" w:cs="宋体"/>
          <w:color w:val="000000"/>
          <w:sz w:val="24"/>
          <w:lang w:eastAsia="zh-CN"/>
        </w:rPr>
        <w:t>深圳交易集团有限公司龙岗分公司</w:t>
      </w:r>
      <w:r>
        <w:rPr>
          <w:rFonts w:hint="eastAsia" w:ascii="宋体" w:hAnsi="宋体" w:eastAsia="宋体" w:cs="宋体"/>
          <w:color w:val="000000"/>
          <w:sz w:val="24"/>
        </w:rPr>
        <w:t>将不予受理。</w:t>
      </w:r>
    </w:p>
    <w:p>
      <w:pPr>
        <w:pStyle w:val="17"/>
        <w:rPr>
          <w:rFonts w:hint="eastAsia" w:ascii="宋体" w:hAnsi="宋体" w:eastAsia="宋体" w:cs="宋体"/>
          <w:color w:val="000000"/>
          <w:sz w:val="28"/>
          <w:szCs w:val="28"/>
        </w:rPr>
      </w:pPr>
      <w:bookmarkStart w:id="100" w:name="_Toc55238651"/>
      <w:bookmarkStart w:id="101" w:name="_Toc152042334"/>
      <w:bookmarkStart w:id="102" w:name="_Toc152045558"/>
      <w:bookmarkStart w:id="103" w:name="_Toc144974526"/>
      <w:r>
        <w:rPr>
          <w:rFonts w:hint="eastAsia" w:ascii="宋体" w:hAnsi="宋体" w:eastAsia="宋体" w:cs="宋体"/>
          <w:color w:val="000000"/>
          <w:sz w:val="28"/>
          <w:szCs w:val="28"/>
          <w:lang w:val="en-US" w:eastAsia="zh-CN"/>
        </w:rPr>
        <w:t>21</w:t>
      </w:r>
      <w:r>
        <w:rPr>
          <w:rFonts w:hint="eastAsia" w:ascii="宋体" w:hAnsi="宋体" w:eastAsia="宋体" w:cs="宋体"/>
          <w:color w:val="000000"/>
          <w:sz w:val="28"/>
          <w:szCs w:val="28"/>
        </w:rPr>
        <w:t>. 投标文件的修改与撤回</w:t>
      </w:r>
      <w:bookmarkEnd w:id="100"/>
      <w:bookmarkEnd w:id="101"/>
      <w:bookmarkEnd w:id="102"/>
      <w:bookmarkEnd w:id="103"/>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1</w:t>
      </w:r>
      <w:r>
        <w:rPr>
          <w:rFonts w:hint="eastAsia" w:ascii="宋体" w:hAnsi="宋体" w:eastAsia="宋体" w:cs="宋体"/>
          <w:color w:val="000000"/>
          <w:sz w:val="24"/>
        </w:rPr>
        <w:t>.1 在交易公告规定的投标文件递交截止时间前，投标人可以修改或撤回已递交的投标文件，但应以书面形式通知</w:t>
      </w:r>
      <w:r>
        <w:rPr>
          <w:rFonts w:hint="eastAsia" w:ascii="宋体" w:hAnsi="宋体" w:eastAsia="宋体" w:cs="宋体"/>
          <w:color w:val="000000"/>
          <w:sz w:val="24"/>
          <w:lang w:eastAsia="zh-CN"/>
        </w:rPr>
        <w:t>深圳交易集团有限公司龙岗分公司</w:t>
      </w:r>
      <w:r>
        <w:rPr>
          <w:rFonts w:hint="eastAsia" w:ascii="宋体" w:hAnsi="宋体" w:eastAsia="宋体" w:cs="宋体"/>
          <w:color w:val="000000"/>
          <w:sz w:val="24"/>
        </w:rPr>
        <w:t>。</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1</w:t>
      </w:r>
      <w:r>
        <w:rPr>
          <w:rFonts w:hint="eastAsia" w:ascii="宋体" w:hAnsi="宋体" w:eastAsia="宋体" w:cs="宋体"/>
          <w:color w:val="000000"/>
          <w:sz w:val="24"/>
        </w:rPr>
        <w:t>.2 投标人修改或撤回已递交投标文件的书面通知应按照第22.3项的要求签字或盖章。</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1</w:t>
      </w:r>
      <w:r>
        <w:rPr>
          <w:rFonts w:hint="eastAsia" w:ascii="宋体" w:hAnsi="宋体" w:eastAsia="宋体" w:cs="宋体"/>
          <w:color w:val="000000"/>
          <w:sz w:val="24"/>
        </w:rPr>
        <w:t>.3 修改的内容为投标文件的组成部分。修改的投标文件应按照第22款、第23款、第24款规定进行编制、密封、标记和递交，并标明“修改”字样。</w:t>
      </w:r>
    </w:p>
    <w:p>
      <w:pPr>
        <w:pStyle w:val="16"/>
        <w:jc w:val="center"/>
        <w:rPr>
          <w:rFonts w:hint="eastAsia" w:ascii="宋体" w:hAnsi="宋体" w:eastAsia="宋体" w:cs="宋体"/>
          <w:b/>
          <w:bCs/>
          <w:color w:val="000000"/>
        </w:rPr>
      </w:pPr>
      <w:bookmarkStart w:id="104" w:name="_Toc55238652"/>
      <w:r>
        <w:rPr>
          <w:rFonts w:hint="eastAsia" w:ascii="宋体" w:hAnsi="宋体" w:eastAsia="宋体" w:cs="宋体"/>
          <w:b/>
          <w:bCs/>
          <w:color w:val="000000"/>
        </w:rPr>
        <w:br w:type="page"/>
      </w:r>
      <w:r>
        <w:rPr>
          <w:rFonts w:hint="eastAsia" w:ascii="宋体" w:hAnsi="宋体" w:eastAsia="宋体" w:cs="宋体"/>
          <w:b/>
          <w:bCs/>
          <w:color w:val="000000"/>
        </w:rPr>
        <w:t>第四章 评标委员会</w:t>
      </w:r>
      <w:bookmarkEnd w:id="104"/>
    </w:p>
    <w:p>
      <w:pPr>
        <w:pStyle w:val="17"/>
        <w:rPr>
          <w:rFonts w:hint="eastAsia" w:ascii="宋体" w:hAnsi="宋体" w:eastAsia="宋体" w:cs="宋体"/>
          <w:color w:val="000000"/>
          <w:sz w:val="28"/>
          <w:szCs w:val="28"/>
        </w:rPr>
      </w:pPr>
      <w:bookmarkStart w:id="105" w:name="_Toc55238653"/>
      <w:bookmarkStart w:id="106" w:name="_Toc144974531"/>
      <w:bookmarkStart w:id="107" w:name="_Toc152042339"/>
      <w:bookmarkStart w:id="108" w:name="_Toc152045563"/>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评标委员会</w:t>
      </w:r>
      <w:bookmarkEnd w:id="105"/>
      <w:bookmarkEnd w:id="106"/>
      <w:bookmarkEnd w:id="107"/>
      <w:bookmarkEnd w:id="108"/>
    </w:p>
    <w:p>
      <w:pPr>
        <w:spacing w:line="400" w:lineRule="exact"/>
        <w:ind w:firstLine="480" w:firstLineChars="200"/>
        <w:rPr>
          <w:rFonts w:hint="eastAsia" w:ascii="宋体" w:hAnsi="宋体" w:eastAsia="宋体" w:cs="宋体"/>
          <w:sz w:val="24"/>
        </w:rPr>
      </w:pPr>
      <w:r>
        <w:rPr>
          <w:rFonts w:hint="eastAsia" w:ascii="宋体" w:hAnsi="宋体" w:eastAsia="宋体" w:cs="宋体"/>
          <w:color w:val="000000"/>
          <w:sz w:val="24"/>
        </w:rPr>
        <w:t>2</w:t>
      </w:r>
      <w:r>
        <w:rPr>
          <w:rFonts w:hint="eastAsia" w:ascii="宋体" w:hAnsi="宋体" w:cs="宋体"/>
          <w:color w:val="000000"/>
          <w:sz w:val="24"/>
          <w:lang w:val="en-US" w:eastAsia="zh-CN"/>
        </w:rPr>
        <w:t>2</w:t>
      </w:r>
      <w:r>
        <w:rPr>
          <w:rFonts w:hint="eastAsia" w:ascii="宋体" w:hAnsi="宋体" w:eastAsia="宋体" w:cs="宋体"/>
          <w:color w:val="000000"/>
          <w:sz w:val="24"/>
        </w:rPr>
        <w:t xml:space="preserve">.1 </w:t>
      </w:r>
      <w:r>
        <w:rPr>
          <w:rFonts w:hint="eastAsia" w:ascii="宋体" w:hAnsi="宋体" w:eastAsia="宋体" w:cs="宋体"/>
          <w:sz w:val="24"/>
        </w:rPr>
        <w:t>评标由</w:t>
      </w:r>
      <w:r>
        <w:rPr>
          <w:rFonts w:hint="eastAsia" w:ascii="宋体" w:hAnsi="宋体" w:eastAsia="宋体" w:cs="宋体"/>
          <w:sz w:val="24"/>
          <w:highlight w:val="none"/>
        </w:rPr>
        <w:t>招标人</w:t>
      </w:r>
      <w:r>
        <w:rPr>
          <w:rFonts w:hint="eastAsia" w:ascii="宋体" w:hAnsi="宋体" w:eastAsia="宋体" w:cs="宋体"/>
          <w:sz w:val="24"/>
        </w:rPr>
        <w:t>依法组建的评标委员会负责。评标委员会由招标人代表，以及有关技术、经济等方面的专家组成。评标委员会成员人数见</w:t>
      </w:r>
      <w:r>
        <w:rPr>
          <w:rFonts w:hint="eastAsia" w:ascii="宋体" w:hAnsi="宋体" w:eastAsia="宋体" w:cs="宋体"/>
          <w:b/>
          <w:bCs/>
          <w:sz w:val="24"/>
        </w:rPr>
        <w:t>投标人须知前附表</w:t>
      </w:r>
      <w:r>
        <w:rPr>
          <w:rFonts w:hint="eastAsia" w:ascii="宋体" w:hAnsi="宋体" w:eastAsia="宋体" w:cs="宋体"/>
          <w:sz w:val="24"/>
        </w:rPr>
        <w:t>。</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cs="宋体"/>
          <w:sz w:val="24"/>
          <w:lang w:val="en-US" w:eastAsia="zh-CN"/>
        </w:rPr>
        <w:t>2</w:t>
      </w:r>
      <w:r>
        <w:rPr>
          <w:rFonts w:hint="eastAsia" w:ascii="宋体" w:hAnsi="宋体" w:eastAsia="宋体" w:cs="宋体"/>
          <w:sz w:val="24"/>
        </w:rPr>
        <w:t>.2 评标委员会成员有下列情形之一的，应当回避：</w:t>
      </w:r>
    </w:p>
    <w:p>
      <w:pPr>
        <w:spacing w:line="400" w:lineRule="exact"/>
        <w:ind w:firstLine="410" w:firstLineChars="171"/>
        <w:rPr>
          <w:rFonts w:hint="eastAsia" w:ascii="宋体" w:hAnsi="宋体" w:eastAsia="宋体" w:cs="宋体"/>
          <w:sz w:val="24"/>
        </w:rPr>
      </w:pPr>
      <w:r>
        <w:rPr>
          <w:rFonts w:hint="eastAsia" w:ascii="宋体" w:hAnsi="宋体" w:eastAsia="宋体" w:cs="宋体"/>
          <w:sz w:val="24"/>
        </w:rPr>
        <w:t>（1）投标人或投标人主要负责人的近亲属；</w:t>
      </w:r>
    </w:p>
    <w:p>
      <w:pPr>
        <w:spacing w:line="400" w:lineRule="exact"/>
        <w:ind w:firstLine="410" w:firstLineChars="171"/>
        <w:rPr>
          <w:rFonts w:hint="eastAsia" w:ascii="宋体" w:hAnsi="宋体" w:eastAsia="宋体" w:cs="宋体"/>
          <w:sz w:val="24"/>
        </w:rPr>
      </w:pPr>
      <w:r>
        <w:rPr>
          <w:rFonts w:hint="eastAsia" w:ascii="宋体" w:hAnsi="宋体" w:eastAsia="宋体" w:cs="宋体"/>
          <w:sz w:val="24"/>
        </w:rPr>
        <w:t>（2）项目主管部门或者行政监督部门的人员；</w:t>
      </w:r>
    </w:p>
    <w:p>
      <w:pPr>
        <w:spacing w:line="400" w:lineRule="exact"/>
        <w:ind w:firstLine="410" w:firstLineChars="171"/>
        <w:rPr>
          <w:rFonts w:hint="eastAsia" w:ascii="宋体" w:hAnsi="宋体" w:eastAsia="宋体" w:cs="宋体"/>
          <w:sz w:val="24"/>
        </w:rPr>
      </w:pPr>
      <w:r>
        <w:rPr>
          <w:rFonts w:hint="eastAsia" w:ascii="宋体" w:hAnsi="宋体" w:eastAsia="宋体" w:cs="宋体"/>
          <w:sz w:val="24"/>
        </w:rPr>
        <w:t>（3）与投标人有经济利益关系；</w:t>
      </w:r>
    </w:p>
    <w:p>
      <w:pPr>
        <w:spacing w:line="400" w:lineRule="exact"/>
        <w:ind w:firstLine="410" w:firstLineChars="171"/>
        <w:rPr>
          <w:rFonts w:hint="eastAsia" w:ascii="宋体" w:hAnsi="宋体" w:eastAsia="宋体" w:cs="宋体"/>
          <w:sz w:val="24"/>
        </w:rPr>
      </w:pPr>
      <w:r>
        <w:rPr>
          <w:rFonts w:hint="eastAsia" w:ascii="宋体" w:hAnsi="宋体" w:eastAsia="宋体" w:cs="宋体"/>
          <w:sz w:val="24"/>
        </w:rPr>
        <w:t>（4）曾因在招标、评标以及其他与招标投标有关活动中从事违法行为而受过行政处罚或刑事处罚的；</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sz w:val="24"/>
        </w:rPr>
        <w:t>（5）与投标人有其他利害关系。</w:t>
      </w:r>
    </w:p>
    <w:p>
      <w:pPr>
        <w:spacing w:line="4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2</w:t>
      </w:r>
      <w:r>
        <w:rPr>
          <w:rFonts w:hint="eastAsia" w:ascii="宋体" w:hAnsi="宋体" w:cs="宋体"/>
          <w:color w:val="000000"/>
          <w:sz w:val="24"/>
          <w:lang w:val="en-US" w:eastAsia="zh-CN"/>
        </w:rPr>
        <w:t>2</w:t>
      </w:r>
      <w:r>
        <w:rPr>
          <w:rFonts w:hint="eastAsia" w:ascii="宋体" w:hAnsi="宋体" w:eastAsia="宋体" w:cs="宋体"/>
          <w:color w:val="000000"/>
          <w:sz w:val="24"/>
        </w:rPr>
        <w:t>.3招标人派代表参加评标委员会的，招标人代表</w:t>
      </w:r>
      <w:r>
        <w:rPr>
          <w:rFonts w:hint="eastAsia" w:ascii="宋体" w:hAnsi="宋体" w:eastAsia="宋体" w:cs="宋体"/>
          <w:sz w:val="24"/>
        </w:rPr>
        <w:t>须持本单位签发的《授权书》</w:t>
      </w:r>
      <w:r>
        <w:rPr>
          <w:rFonts w:hint="eastAsia" w:ascii="宋体" w:hAnsi="宋体" w:eastAsia="宋体" w:cs="宋体"/>
          <w:color w:val="000000"/>
          <w:sz w:val="24"/>
        </w:rPr>
        <w:t>及本人身份证原件</w:t>
      </w:r>
      <w:r>
        <w:rPr>
          <w:rFonts w:hint="eastAsia" w:ascii="宋体" w:hAnsi="宋体" w:eastAsia="宋体" w:cs="宋体"/>
          <w:sz w:val="24"/>
        </w:rPr>
        <w:t>参加</w:t>
      </w:r>
      <w:r>
        <w:rPr>
          <w:rFonts w:hint="eastAsia" w:ascii="宋体" w:hAnsi="宋体" w:eastAsia="宋体" w:cs="宋体"/>
          <w:color w:val="000000"/>
          <w:sz w:val="24"/>
        </w:rPr>
        <w:t>。</w:t>
      </w:r>
    </w:p>
    <w:p>
      <w:pPr>
        <w:pStyle w:val="16"/>
        <w:jc w:val="center"/>
        <w:rPr>
          <w:rFonts w:hint="eastAsia" w:ascii="宋体" w:hAnsi="宋体" w:eastAsia="宋体" w:cs="宋体"/>
          <w:b/>
          <w:bCs/>
          <w:color w:val="000000"/>
        </w:rPr>
      </w:pPr>
      <w:bookmarkStart w:id="109" w:name="_Toc152045562"/>
      <w:bookmarkStart w:id="110" w:name="_Toc144974530"/>
      <w:bookmarkStart w:id="111" w:name="_Toc152042338"/>
      <w:bookmarkStart w:id="112" w:name="_Toc55238655"/>
      <w:r>
        <w:rPr>
          <w:rFonts w:hint="eastAsia" w:ascii="宋体" w:hAnsi="宋体" w:eastAsia="宋体" w:cs="宋体"/>
          <w:b/>
          <w:bCs/>
          <w:color w:val="000000"/>
        </w:rPr>
        <w:br w:type="page"/>
      </w:r>
      <w:r>
        <w:rPr>
          <w:rFonts w:hint="eastAsia" w:ascii="宋体" w:hAnsi="宋体" w:eastAsia="宋体" w:cs="宋体"/>
          <w:b/>
          <w:bCs/>
          <w:color w:val="000000"/>
        </w:rPr>
        <w:t>第五章</w:t>
      </w:r>
      <w:bookmarkEnd w:id="109"/>
      <w:bookmarkEnd w:id="110"/>
      <w:bookmarkEnd w:id="111"/>
      <w:r>
        <w:rPr>
          <w:rFonts w:hint="eastAsia" w:ascii="宋体" w:hAnsi="宋体" w:eastAsia="宋体" w:cs="宋体"/>
          <w:b/>
          <w:bCs/>
          <w:color w:val="000000"/>
        </w:rPr>
        <w:t xml:space="preserve"> 开标及评标</w:t>
      </w:r>
      <w:bookmarkEnd w:id="112"/>
    </w:p>
    <w:p>
      <w:pPr>
        <w:pStyle w:val="17"/>
        <w:tabs>
          <w:tab w:val="left" w:pos="2496"/>
        </w:tabs>
        <w:spacing w:beforeLines="0" w:afterLines="0" w:line="240" w:lineRule="auto"/>
        <w:rPr>
          <w:rFonts w:hint="eastAsia" w:ascii="宋体" w:hAnsi="宋体" w:eastAsia="宋体" w:cs="宋体"/>
          <w:color w:val="000000"/>
          <w:sz w:val="28"/>
          <w:szCs w:val="28"/>
        </w:rPr>
      </w:pPr>
      <w:bookmarkStart w:id="113" w:name="_Toc55238656"/>
      <w:bookmarkStart w:id="114" w:name="_Toc144974528"/>
      <w:bookmarkStart w:id="115" w:name="_Toc152045560"/>
      <w:bookmarkStart w:id="116" w:name="_Toc152042336"/>
      <w:bookmarkStart w:id="117" w:name="_Toc152045567"/>
      <w:bookmarkStart w:id="118" w:name="_Toc144974535"/>
      <w:bookmarkStart w:id="119" w:name="_Toc152042343"/>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.原则规定</w:t>
      </w:r>
      <w:bookmarkEnd w:id="113"/>
    </w:p>
    <w:p>
      <w:pPr>
        <w:spacing w:beforeLines="0" w:afterLines="0"/>
        <w:ind w:firstLine="480" w:firstLineChars="200"/>
        <w:rPr>
          <w:rFonts w:hint="eastAsia" w:ascii="宋体" w:hAnsi="宋体" w:eastAsia="宋体" w:cs="宋体"/>
          <w:color w:val="000000"/>
          <w:sz w:val="24"/>
        </w:rPr>
      </w:pPr>
      <w:r>
        <w:rPr>
          <w:rFonts w:hint="eastAsia" w:ascii="宋体" w:hAnsi="宋体" w:eastAsia="宋体" w:cs="宋体"/>
          <w:color w:val="000000"/>
          <w:sz w:val="24"/>
        </w:rPr>
        <w:t>遵循公平、公正、科学和择优的原则。</w:t>
      </w:r>
    </w:p>
    <w:p>
      <w:pPr>
        <w:pStyle w:val="17"/>
        <w:spacing w:beforeLines="0" w:afterLines="0" w:line="240" w:lineRule="auto"/>
        <w:rPr>
          <w:rFonts w:hint="eastAsia" w:ascii="宋体" w:hAnsi="宋体" w:eastAsia="宋体" w:cs="宋体"/>
          <w:color w:val="000000"/>
          <w:sz w:val="28"/>
          <w:szCs w:val="28"/>
        </w:rPr>
      </w:pPr>
      <w:bookmarkStart w:id="120" w:name="_Toc55238657"/>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开标时间和地点</w:t>
      </w:r>
      <w:bookmarkEnd w:id="114"/>
      <w:bookmarkEnd w:id="115"/>
      <w:bookmarkEnd w:id="116"/>
      <w:bookmarkEnd w:id="120"/>
    </w:p>
    <w:p>
      <w:pPr>
        <w:spacing w:beforeLines="0" w:afterLines="0" w:line="240" w:lineRule="auto"/>
        <w:ind w:firstLine="480" w:firstLineChars="200"/>
        <w:rPr>
          <w:rFonts w:hint="eastAsia" w:ascii="宋体" w:hAnsi="宋体" w:eastAsia="宋体" w:cs="宋体"/>
          <w:color w:val="000000"/>
        </w:rPr>
      </w:pPr>
      <w:r>
        <w:rPr>
          <w:rFonts w:hint="eastAsia" w:ascii="宋体" w:hAnsi="宋体" w:eastAsia="宋体" w:cs="宋体"/>
          <w:color w:val="000000"/>
          <w:sz w:val="24"/>
        </w:rPr>
        <w:t>招标人在交易公告规定的时间、地点开标。投标人代表均须按时参加开标，参加开标的投标人代表应签名报到以证明其出席</w:t>
      </w:r>
      <w:r>
        <w:rPr>
          <w:rFonts w:hint="eastAsia" w:ascii="宋体" w:hAnsi="宋体" w:eastAsia="宋体" w:cs="宋体"/>
          <w:color w:val="000000"/>
        </w:rPr>
        <w:t>。</w:t>
      </w:r>
    </w:p>
    <w:p>
      <w:pPr>
        <w:pStyle w:val="17"/>
        <w:spacing w:beforeLines="0" w:afterLines="0" w:line="240" w:lineRule="auto"/>
        <w:rPr>
          <w:rFonts w:hint="eastAsia" w:ascii="宋体" w:hAnsi="宋体" w:eastAsia="宋体" w:cs="宋体"/>
          <w:color w:val="000000"/>
          <w:sz w:val="28"/>
          <w:szCs w:val="28"/>
        </w:rPr>
      </w:pPr>
      <w:bookmarkStart w:id="121" w:name="_Toc144974529"/>
      <w:bookmarkStart w:id="122" w:name="_Toc152045561"/>
      <w:bookmarkStart w:id="123" w:name="_Toc55238658"/>
      <w:bookmarkStart w:id="124" w:name="_Toc152042337"/>
      <w:r>
        <w:rPr>
          <w:rFonts w:hint="eastAsia" w:ascii="宋体" w:hAnsi="宋体" w:eastAsia="宋体" w:cs="宋体"/>
          <w:color w:val="000000"/>
          <w:sz w:val="28"/>
          <w:szCs w:val="28"/>
          <w:lang w:val="en-US" w:eastAsia="zh-CN"/>
        </w:rPr>
        <w:t>25</w:t>
      </w:r>
      <w:r>
        <w:rPr>
          <w:rFonts w:hint="eastAsia" w:ascii="宋体" w:hAnsi="宋体" w:eastAsia="宋体" w:cs="宋体"/>
          <w:color w:val="000000"/>
          <w:sz w:val="28"/>
          <w:szCs w:val="28"/>
        </w:rPr>
        <w:t>. 开标程序</w:t>
      </w:r>
      <w:bookmarkEnd w:id="121"/>
      <w:bookmarkEnd w:id="122"/>
      <w:bookmarkEnd w:id="123"/>
      <w:bookmarkEnd w:id="124"/>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25</w:t>
      </w:r>
      <w:r>
        <w:rPr>
          <w:rFonts w:hint="eastAsia" w:ascii="宋体" w:hAnsi="宋体" w:eastAsia="宋体" w:cs="宋体"/>
          <w:color w:val="000000"/>
          <w:sz w:val="24"/>
        </w:rPr>
        <w:t>.1</w:t>
      </w:r>
      <w:r>
        <w:rPr>
          <w:rFonts w:hint="eastAsia" w:ascii="宋体" w:hAnsi="宋体" w:eastAsia="宋体" w:cs="宋体"/>
          <w:color w:val="000000"/>
          <w:sz w:val="24"/>
          <w:lang w:eastAsia="zh-CN"/>
        </w:rPr>
        <w:t>深圳交易集团有限公司龙岗分公司</w:t>
      </w:r>
      <w:r>
        <w:rPr>
          <w:rFonts w:hint="eastAsia" w:ascii="宋体" w:hAnsi="宋体" w:eastAsia="宋体" w:cs="宋体"/>
          <w:color w:val="000000"/>
          <w:sz w:val="24"/>
        </w:rPr>
        <w:t>主持人按下列程序组织开标：</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（1）宣布开标纪律；</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（2）公布在投标文件递交截止时间前递交投标文件的投标人名称；</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（3）宣布开标人、唱标人、记录人、监标人（如有）等有关人员姓名；</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（4）按照</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规定检查投标文件的密封情况；</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（5）按照</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的规定确定并宣布投标文件开标顺序；</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（6）按照宣布的开标顺序当众拆封投标文件，公布投标人名称、投标报价及其他内容，核验投标人代表身份证，并制作开标记录；</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（7）投标人代表、招标人代表（如有）、监标人（如有）、记录人等有关人员在开标记录上签字确认；</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eastAsia="宋体" w:cs="宋体"/>
          <w:color w:val="000000"/>
          <w:sz w:val="24"/>
        </w:rPr>
        <w:t>（8）开标结束。</w:t>
      </w:r>
    </w:p>
    <w:p>
      <w:pPr>
        <w:spacing w:beforeLines="0" w:afterLines="0" w:line="240" w:lineRule="auto"/>
        <w:ind w:firstLine="410" w:firstLineChars="171"/>
        <w:rPr>
          <w:rFonts w:hint="eastAsia" w:ascii="宋体" w:hAnsi="宋体" w:eastAsia="宋体" w:cs="宋体"/>
          <w:color w:val="000000"/>
          <w:sz w:val="24"/>
        </w:rPr>
      </w:pPr>
      <w:r>
        <w:rPr>
          <w:rFonts w:hint="eastAsia" w:ascii="宋体" w:hAnsi="宋体" w:cs="宋体"/>
          <w:color w:val="000000"/>
          <w:sz w:val="24"/>
          <w:lang w:val="en-US" w:eastAsia="zh-CN"/>
        </w:rPr>
        <w:t>25</w:t>
      </w:r>
      <w:r>
        <w:rPr>
          <w:rFonts w:hint="eastAsia" w:ascii="宋体" w:hAnsi="宋体" w:eastAsia="宋体" w:cs="宋体"/>
          <w:color w:val="000000"/>
          <w:sz w:val="24"/>
        </w:rPr>
        <w:t>.2投标人对开标有异议的，应当在开标现场提出，</w:t>
      </w:r>
      <w:r>
        <w:rPr>
          <w:rFonts w:hint="eastAsia" w:ascii="宋体" w:hAnsi="宋体" w:eastAsia="宋体" w:cs="宋体"/>
          <w:color w:val="000000"/>
          <w:sz w:val="24"/>
          <w:lang w:eastAsia="zh-CN"/>
        </w:rPr>
        <w:t>深圳交易集团有限公司龙岗分公司</w:t>
      </w:r>
      <w:r>
        <w:rPr>
          <w:rFonts w:hint="eastAsia" w:ascii="宋体" w:hAnsi="宋体" w:eastAsia="宋体" w:cs="宋体"/>
          <w:color w:val="000000"/>
          <w:sz w:val="24"/>
        </w:rPr>
        <w:t>或招标人应当当场作出答复，并制作记录。</w:t>
      </w:r>
    </w:p>
    <w:p>
      <w:pPr>
        <w:pStyle w:val="17"/>
        <w:spacing w:beforeLines="0" w:afterLines="0" w:line="240" w:lineRule="auto"/>
        <w:rPr>
          <w:rFonts w:hint="eastAsia" w:ascii="宋体" w:hAnsi="宋体" w:eastAsia="宋体" w:cs="宋体"/>
          <w:color w:val="000000"/>
          <w:sz w:val="28"/>
          <w:szCs w:val="28"/>
        </w:rPr>
      </w:pPr>
      <w:bookmarkStart w:id="125" w:name="_Toc55238659"/>
      <w:r>
        <w:rPr>
          <w:rFonts w:hint="eastAsia" w:ascii="宋体" w:hAnsi="宋体" w:eastAsia="宋体" w:cs="宋体"/>
          <w:color w:val="000000"/>
          <w:sz w:val="28"/>
          <w:szCs w:val="28"/>
          <w:lang w:val="en-US" w:eastAsia="zh-CN"/>
        </w:rPr>
        <w:t>26</w:t>
      </w:r>
      <w:r>
        <w:rPr>
          <w:rFonts w:hint="eastAsia" w:ascii="宋体" w:hAnsi="宋体" w:eastAsia="宋体" w:cs="宋体"/>
          <w:color w:val="000000"/>
          <w:sz w:val="28"/>
          <w:szCs w:val="28"/>
        </w:rPr>
        <w:t>. 评标方法</w:t>
      </w:r>
      <w:bookmarkEnd w:id="125"/>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26</w:t>
      </w:r>
      <w:r>
        <w:rPr>
          <w:rFonts w:hint="eastAsia" w:ascii="宋体" w:hAnsi="宋体" w:eastAsia="宋体" w:cs="宋体"/>
          <w:color w:val="000000"/>
          <w:sz w:val="24"/>
        </w:rPr>
        <w:t>.1本次评标按照对招标人最优的原则，项目评标方法分为</w:t>
      </w:r>
      <w:r>
        <w:rPr>
          <w:rFonts w:hint="eastAsia" w:ascii="宋体" w:hAnsi="宋体" w:eastAsia="宋体" w:cs="宋体"/>
          <w:color w:val="000000"/>
          <w:sz w:val="24"/>
          <w:lang w:eastAsia="zh-CN"/>
        </w:rPr>
        <w:t>综合评审法</w:t>
      </w:r>
      <w:r>
        <w:rPr>
          <w:rFonts w:hint="eastAsia" w:ascii="宋体" w:hAnsi="宋体" w:eastAsia="宋体" w:cs="宋体"/>
          <w:color w:val="000000"/>
          <w:sz w:val="24"/>
        </w:rPr>
        <w:t>、定性评标法及法律、法规允许的其他评标方法。</w:t>
      </w:r>
    </w:p>
    <w:p>
      <w:pPr>
        <w:spacing w:beforeLines="0" w:afterLines="0" w:line="240" w:lineRule="auto"/>
        <w:ind w:firstLine="480" w:firstLineChars="200"/>
        <w:rPr>
          <w:rFonts w:hint="eastAsia" w:ascii="宋体" w:hAnsi="宋体" w:eastAsia="宋体" w:cs="宋体"/>
          <w:color w:val="000000"/>
          <w:sz w:val="24"/>
          <w:lang w:eastAsia="zh-CN"/>
        </w:rPr>
      </w:pPr>
      <w:r>
        <w:rPr>
          <w:rFonts w:hint="eastAsia" w:ascii="宋体" w:hAnsi="宋体" w:cs="宋体"/>
          <w:color w:val="000000"/>
          <w:sz w:val="24"/>
          <w:lang w:val="en-US" w:eastAsia="zh-CN"/>
        </w:rPr>
        <w:t>26</w:t>
      </w:r>
      <w:r>
        <w:rPr>
          <w:rFonts w:hint="eastAsia" w:ascii="宋体" w:hAnsi="宋体" w:eastAsia="宋体" w:cs="宋体"/>
          <w:color w:val="000000"/>
          <w:sz w:val="24"/>
        </w:rPr>
        <w:t>.</w:t>
      </w:r>
      <w:r>
        <w:rPr>
          <w:rFonts w:hint="eastAsia" w:ascii="宋体" w:hAnsi="宋体" w:cs="宋体"/>
          <w:color w:val="000000"/>
          <w:sz w:val="24"/>
          <w:lang w:val="en-US" w:eastAsia="zh-CN"/>
        </w:rPr>
        <w:t>2</w:t>
      </w:r>
      <w:r>
        <w:rPr>
          <w:rFonts w:hint="eastAsia" w:ascii="宋体" w:hAnsi="宋体" w:eastAsia="宋体" w:cs="宋体"/>
          <w:color w:val="000000"/>
          <w:sz w:val="24"/>
          <w:lang w:eastAsia="zh-CN"/>
        </w:rPr>
        <w:t>综合评审法</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lang w:eastAsia="zh-CN"/>
        </w:rPr>
        <w:t>综合评审法</w:t>
      </w:r>
      <w:r>
        <w:rPr>
          <w:rFonts w:hint="eastAsia" w:ascii="宋体" w:hAnsi="宋体" w:eastAsia="宋体" w:cs="宋体"/>
          <w:color w:val="000000"/>
          <w:sz w:val="24"/>
        </w:rPr>
        <w:t>是指在最大限度满足</w:t>
      </w:r>
      <w:r>
        <w:rPr>
          <w:rFonts w:hint="eastAsia" w:ascii="宋体" w:hAnsi="宋体" w:cs="宋体"/>
          <w:color w:val="000000"/>
          <w:sz w:val="24"/>
          <w:lang w:eastAsia="zh-CN"/>
        </w:rPr>
        <w:t>招标文件</w:t>
      </w:r>
      <w:r>
        <w:rPr>
          <w:rFonts w:hint="eastAsia" w:ascii="宋体" w:hAnsi="宋体" w:eastAsia="宋体" w:cs="宋体"/>
          <w:color w:val="000000"/>
          <w:sz w:val="24"/>
        </w:rPr>
        <w:t>实质性要求前提下，按照</w:t>
      </w:r>
      <w:r>
        <w:rPr>
          <w:rFonts w:hint="eastAsia" w:ascii="宋体" w:hAnsi="宋体" w:cs="宋体"/>
          <w:color w:val="000000"/>
          <w:sz w:val="24"/>
          <w:lang w:eastAsia="zh-CN"/>
        </w:rPr>
        <w:t>招标文件</w:t>
      </w:r>
      <w:r>
        <w:rPr>
          <w:rFonts w:hint="eastAsia" w:ascii="宋体" w:hAnsi="宋体" w:eastAsia="宋体" w:cs="宋体"/>
          <w:color w:val="000000"/>
          <w:sz w:val="24"/>
        </w:rPr>
        <w:t>规定的各项因素进行量化打分，以评标总得分排名前列的投标人作为中标候选人的评标办法。如两个或两个以上投标人的最终综合评分并列且影响到中标候选人推荐的，则由评标委员会根据</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的规定自行确定。</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评标委员会成员按照</w:t>
      </w:r>
      <w:r>
        <w:rPr>
          <w:rFonts w:hint="eastAsia" w:ascii="宋体" w:hAnsi="宋体" w:eastAsia="宋体" w:cs="宋体"/>
          <w:b/>
          <w:bCs/>
          <w:color w:val="000000"/>
          <w:sz w:val="24"/>
        </w:rPr>
        <w:t>评标办法前附表</w:t>
      </w:r>
      <w:r>
        <w:rPr>
          <w:rFonts w:hint="eastAsia" w:ascii="宋体" w:hAnsi="宋体" w:eastAsia="宋体" w:cs="宋体"/>
          <w:color w:val="000000"/>
          <w:sz w:val="24"/>
        </w:rPr>
        <w:t>规定的量化因素和分值标准对投标文件打分。打分保留两位小数。将所有评标委员会成员的评分平均后为最终得分。计算平均分保留两位小数，小数点后第三位四舍五入。</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具体参见</w:t>
      </w:r>
      <w:r>
        <w:rPr>
          <w:rFonts w:hint="eastAsia" w:ascii="宋体" w:hAnsi="宋体" w:eastAsia="宋体" w:cs="宋体"/>
          <w:b/>
          <w:bCs/>
          <w:color w:val="000000"/>
          <w:sz w:val="24"/>
        </w:rPr>
        <w:t>评标办法前附表的表1及表2</w:t>
      </w:r>
      <w:r>
        <w:rPr>
          <w:rFonts w:hint="eastAsia" w:ascii="宋体" w:hAnsi="宋体" w:eastAsia="宋体" w:cs="宋体"/>
          <w:color w:val="000000"/>
          <w:sz w:val="24"/>
        </w:rPr>
        <w:t>。</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26.3</w:t>
      </w:r>
      <w:r>
        <w:rPr>
          <w:rFonts w:hint="eastAsia" w:ascii="宋体" w:hAnsi="宋体" w:eastAsia="宋体" w:cs="宋体"/>
          <w:color w:val="000000"/>
          <w:sz w:val="24"/>
        </w:rPr>
        <w:t>定性评审法</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定性评审法是指按照</w:t>
      </w:r>
      <w:r>
        <w:rPr>
          <w:rFonts w:hint="eastAsia" w:ascii="宋体" w:hAnsi="宋体" w:cs="宋体"/>
          <w:color w:val="000000"/>
          <w:sz w:val="24"/>
          <w:lang w:eastAsia="zh-CN"/>
        </w:rPr>
        <w:t>招标文件</w:t>
      </w:r>
      <w:r>
        <w:rPr>
          <w:rFonts w:hint="eastAsia" w:ascii="宋体" w:hAnsi="宋体" w:eastAsia="宋体" w:cs="宋体"/>
          <w:color w:val="000000"/>
          <w:sz w:val="24"/>
        </w:rPr>
        <w:t>规定的各项因素进行技术商务定性评审，对投标文件是否满足</w:t>
      </w:r>
      <w:r>
        <w:rPr>
          <w:rFonts w:hint="eastAsia" w:ascii="宋体" w:hAnsi="宋体" w:cs="宋体"/>
          <w:color w:val="000000"/>
          <w:sz w:val="24"/>
          <w:lang w:eastAsia="zh-CN"/>
        </w:rPr>
        <w:t>招标文件</w:t>
      </w:r>
      <w:r>
        <w:rPr>
          <w:rFonts w:hint="eastAsia" w:ascii="宋体" w:hAnsi="宋体" w:eastAsia="宋体" w:cs="宋体"/>
          <w:color w:val="000000"/>
          <w:sz w:val="24"/>
        </w:rPr>
        <w:t>实质性要求提出意见，指出投标文件的优点、缺陷、问题以及签订合同前应注意和澄清的事项，出具定性评审报告。所有递交的投标文件不被判定为废标或者无效标的投标人，均被推荐为中标候选人。</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26.4</w:t>
      </w:r>
      <w:r>
        <w:rPr>
          <w:rFonts w:hint="eastAsia" w:ascii="宋体" w:hAnsi="宋体" w:eastAsia="宋体" w:cs="宋体"/>
          <w:color w:val="000000"/>
          <w:sz w:val="24"/>
        </w:rPr>
        <w:t>本项目采用的评标方法见</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w:t>
      </w:r>
    </w:p>
    <w:p>
      <w:pPr>
        <w:pStyle w:val="17"/>
        <w:spacing w:beforeLines="0" w:afterLines="0" w:line="240" w:lineRule="auto"/>
        <w:rPr>
          <w:rFonts w:hint="eastAsia" w:ascii="宋体" w:hAnsi="宋体" w:eastAsia="宋体" w:cs="宋体"/>
          <w:color w:val="000000"/>
          <w:sz w:val="28"/>
          <w:szCs w:val="28"/>
        </w:rPr>
      </w:pPr>
      <w:bookmarkStart w:id="126" w:name="_Toc55238660"/>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评标程序</w:t>
      </w:r>
      <w:bookmarkEnd w:id="126"/>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27</w:t>
      </w:r>
      <w:r>
        <w:rPr>
          <w:rFonts w:hint="eastAsia" w:ascii="宋体" w:hAnsi="宋体" w:eastAsia="宋体" w:cs="宋体"/>
          <w:color w:val="000000"/>
          <w:sz w:val="24"/>
        </w:rPr>
        <w:t>.</w:t>
      </w:r>
      <w:r>
        <w:rPr>
          <w:rFonts w:hint="eastAsia" w:ascii="宋体" w:hAnsi="宋体" w:cs="宋体"/>
          <w:color w:val="000000"/>
          <w:sz w:val="24"/>
          <w:lang w:val="en-US" w:eastAsia="zh-CN"/>
        </w:rPr>
        <w:t>1</w:t>
      </w:r>
      <w:r>
        <w:rPr>
          <w:rFonts w:hint="eastAsia" w:ascii="宋体" w:hAnsi="宋体" w:eastAsia="宋体" w:cs="宋体"/>
          <w:color w:val="000000"/>
          <w:sz w:val="24"/>
        </w:rPr>
        <w:t>符合性审查</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评标委员会依据评标办法表1规定的标准对投标文件进行符合性审查。有一项不符合审查标准的，将不予进入评标程序。</w:t>
      </w:r>
    </w:p>
    <w:p>
      <w:pPr>
        <w:spacing w:beforeLines="0" w:afterLines="0" w:line="240" w:lineRule="auto"/>
        <w:ind w:firstLine="480" w:firstLineChars="200"/>
        <w:rPr>
          <w:rFonts w:hint="eastAsia" w:ascii="宋体" w:hAnsi="宋体" w:eastAsia="宋体" w:cs="宋体"/>
          <w:sz w:val="24"/>
        </w:rPr>
      </w:pPr>
      <w:r>
        <w:rPr>
          <w:rFonts w:hint="eastAsia" w:ascii="宋体" w:hAnsi="宋体" w:cs="宋体"/>
          <w:color w:val="000000"/>
          <w:sz w:val="24"/>
          <w:lang w:val="en-US" w:eastAsia="zh-CN"/>
        </w:rPr>
        <w:t>27.2</w:t>
      </w:r>
      <w:r>
        <w:rPr>
          <w:rFonts w:hint="eastAsia" w:ascii="宋体" w:hAnsi="宋体" w:eastAsia="宋体" w:cs="宋体"/>
          <w:sz w:val="24"/>
        </w:rPr>
        <w:t>比较与评价</w:t>
      </w:r>
    </w:p>
    <w:p>
      <w:pPr>
        <w:spacing w:beforeLines="0" w:afterLines="0" w:line="240" w:lineRule="auto"/>
        <w:ind w:firstLine="480" w:firstLineChars="200"/>
        <w:rPr>
          <w:rFonts w:hint="eastAsia" w:ascii="宋体" w:hAnsi="宋体" w:eastAsia="宋体" w:cs="宋体"/>
          <w:sz w:val="24"/>
        </w:rPr>
      </w:pPr>
      <w:r>
        <w:rPr>
          <w:rFonts w:hint="eastAsia" w:ascii="宋体" w:hAnsi="宋体" w:eastAsia="宋体" w:cs="宋体"/>
          <w:sz w:val="24"/>
        </w:rPr>
        <w:t>评标委员会按照</w:t>
      </w:r>
      <w:r>
        <w:rPr>
          <w:rFonts w:hint="eastAsia" w:ascii="宋体" w:hAnsi="宋体" w:cs="宋体"/>
          <w:sz w:val="24"/>
          <w:lang w:eastAsia="zh-CN"/>
        </w:rPr>
        <w:t>招标文件</w:t>
      </w:r>
      <w:r>
        <w:rPr>
          <w:rFonts w:hint="eastAsia" w:ascii="宋体" w:hAnsi="宋体" w:eastAsia="宋体" w:cs="宋体"/>
          <w:sz w:val="24"/>
        </w:rPr>
        <w:t>中规定的评标方法和标准，对符合性审查合格的投标文件进行综合比较与评价。</w:t>
      </w:r>
    </w:p>
    <w:p>
      <w:pPr>
        <w:pStyle w:val="17"/>
        <w:spacing w:beforeLines="0" w:afterLines="0" w:line="240" w:lineRule="auto"/>
        <w:rPr>
          <w:rFonts w:hint="eastAsia" w:ascii="宋体" w:hAnsi="宋体" w:eastAsia="宋体" w:cs="宋体"/>
          <w:color w:val="000000"/>
          <w:szCs w:val="24"/>
        </w:rPr>
      </w:pPr>
      <w:bookmarkStart w:id="127" w:name="_Toc55238661"/>
      <w:r>
        <w:rPr>
          <w:rFonts w:hint="eastAsia" w:ascii="宋体" w:hAnsi="宋体" w:eastAsia="宋体" w:cs="宋体"/>
          <w:color w:val="000000"/>
          <w:szCs w:val="24"/>
        </w:rPr>
        <w:t>33.投标文件的澄清和补正</w:t>
      </w:r>
      <w:bookmarkEnd w:id="127"/>
    </w:p>
    <w:p>
      <w:pPr>
        <w:spacing w:beforeLines="0" w:afterLines="0" w:line="240" w:lineRule="auto"/>
        <w:ind w:firstLine="480" w:firstLineChars="200"/>
        <w:rPr>
          <w:rFonts w:hint="eastAsia" w:ascii="宋体" w:hAnsi="宋体" w:eastAsia="宋体" w:cs="宋体"/>
          <w:sz w:val="24"/>
        </w:rPr>
      </w:pPr>
      <w:r>
        <w:rPr>
          <w:rFonts w:hint="eastAsia" w:ascii="宋体" w:hAnsi="宋体" w:cs="宋体"/>
          <w:sz w:val="24"/>
          <w:lang w:val="en-US" w:eastAsia="zh-CN"/>
        </w:rPr>
        <w:t>27.3</w:t>
      </w:r>
      <w:r>
        <w:rPr>
          <w:rFonts w:hint="eastAsia" w:ascii="宋体" w:hAnsi="宋体" w:eastAsia="宋体" w:cs="宋体"/>
          <w:sz w:val="24"/>
        </w:rPr>
        <w:t>在评标过程中，评标委员会可以书面形式要求投标人对所提交投标文件中不明确的内容进行书面澄清或说明，或者对细微偏差进行补正。评标委员会不接受投标人主动提出的澄清、说明或补正。</w:t>
      </w:r>
    </w:p>
    <w:p>
      <w:pPr>
        <w:spacing w:beforeLines="0" w:afterLines="0" w:line="240" w:lineRule="auto"/>
        <w:ind w:firstLine="480" w:firstLineChars="200"/>
        <w:rPr>
          <w:rFonts w:hint="eastAsia" w:ascii="宋体" w:hAnsi="宋体" w:eastAsia="宋体" w:cs="宋体"/>
          <w:sz w:val="24"/>
        </w:rPr>
      </w:pPr>
      <w:r>
        <w:rPr>
          <w:rFonts w:hint="eastAsia" w:ascii="宋体" w:hAnsi="宋体" w:cs="宋体"/>
          <w:sz w:val="24"/>
          <w:lang w:val="en-US" w:eastAsia="zh-CN"/>
        </w:rPr>
        <w:t>27.4</w:t>
      </w:r>
      <w:r>
        <w:rPr>
          <w:rFonts w:hint="eastAsia" w:ascii="宋体" w:hAnsi="宋体" w:eastAsia="宋体" w:cs="宋体"/>
          <w:sz w:val="24"/>
        </w:rPr>
        <w:t xml:space="preserve"> 澄清、说明和补正不得改变投标文件的实质性内容。投标人的书面澄清、说明和补正属于投标文件的组成部分。</w:t>
      </w:r>
    </w:p>
    <w:p>
      <w:pPr>
        <w:spacing w:beforeLines="0" w:afterLines="0" w:line="240" w:lineRule="auto"/>
        <w:ind w:firstLine="480" w:firstLineChars="200"/>
        <w:rPr>
          <w:rFonts w:hint="eastAsia" w:ascii="宋体" w:hAnsi="宋体" w:eastAsia="宋体" w:cs="宋体"/>
          <w:sz w:val="24"/>
        </w:rPr>
      </w:pPr>
      <w:r>
        <w:rPr>
          <w:rFonts w:hint="eastAsia" w:ascii="宋体" w:hAnsi="宋体" w:cs="宋体"/>
          <w:sz w:val="24"/>
          <w:lang w:val="en-US" w:eastAsia="zh-CN"/>
        </w:rPr>
        <w:t>27.5</w:t>
      </w:r>
      <w:r>
        <w:rPr>
          <w:rFonts w:hint="eastAsia" w:ascii="宋体" w:hAnsi="宋体" w:eastAsia="宋体" w:cs="宋体"/>
          <w:sz w:val="24"/>
        </w:rPr>
        <w:t xml:space="preserve"> 评标委员会对投标人提交的澄清、说明或补正有疑问的，可以要求投标人进一步澄清、说明或补正，直至满足评标委员会的要求。</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27.6</w:t>
      </w:r>
      <w:r>
        <w:rPr>
          <w:rFonts w:hint="eastAsia" w:ascii="宋体" w:hAnsi="宋体" w:eastAsia="宋体" w:cs="宋体"/>
          <w:color w:val="000000"/>
          <w:sz w:val="24"/>
        </w:rPr>
        <w:t>投标文件报价出现前后不一致的，按照下列规定修正：</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27</w:t>
      </w:r>
      <w:r>
        <w:rPr>
          <w:rFonts w:hint="eastAsia" w:ascii="宋体" w:hAnsi="宋体" w:eastAsia="宋体" w:cs="宋体"/>
          <w:color w:val="000000"/>
          <w:sz w:val="24"/>
        </w:rPr>
        <w:t>.</w:t>
      </w:r>
      <w:r>
        <w:rPr>
          <w:rFonts w:hint="eastAsia" w:ascii="宋体" w:hAnsi="宋体" w:cs="宋体"/>
          <w:color w:val="000000"/>
          <w:sz w:val="24"/>
          <w:lang w:val="en-US" w:eastAsia="zh-CN"/>
        </w:rPr>
        <w:t>6</w:t>
      </w:r>
      <w:r>
        <w:rPr>
          <w:rFonts w:hint="eastAsia" w:ascii="宋体" w:hAnsi="宋体" w:eastAsia="宋体" w:cs="宋体"/>
          <w:color w:val="000000"/>
          <w:sz w:val="24"/>
        </w:rPr>
        <w:t>.1投标文件中</w:t>
      </w:r>
      <w:r>
        <w:rPr>
          <w:rFonts w:hint="eastAsia" w:ascii="宋体" w:hAnsi="宋体" w:cs="宋体"/>
          <w:color w:val="000000"/>
          <w:sz w:val="24"/>
          <w:lang w:eastAsia="zh-CN"/>
        </w:rPr>
        <w:t>投标报价表</w:t>
      </w:r>
      <w:r>
        <w:rPr>
          <w:rFonts w:hint="eastAsia" w:ascii="宋体" w:hAnsi="宋体" w:eastAsia="宋体" w:cs="宋体"/>
          <w:color w:val="000000"/>
          <w:sz w:val="24"/>
        </w:rPr>
        <w:t>内容与投标文件中相应内容不一致的，以</w:t>
      </w:r>
      <w:r>
        <w:rPr>
          <w:rFonts w:hint="eastAsia" w:ascii="宋体" w:hAnsi="宋体" w:cs="宋体"/>
          <w:color w:val="000000"/>
          <w:sz w:val="24"/>
          <w:lang w:eastAsia="zh-CN"/>
        </w:rPr>
        <w:t>投标报价表</w:t>
      </w:r>
      <w:r>
        <w:rPr>
          <w:rFonts w:hint="eastAsia" w:ascii="宋体" w:hAnsi="宋体" w:eastAsia="宋体" w:cs="宋体"/>
          <w:color w:val="000000"/>
          <w:sz w:val="24"/>
        </w:rPr>
        <w:t>为准；</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27</w:t>
      </w:r>
      <w:r>
        <w:rPr>
          <w:rFonts w:hint="eastAsia" w:ascii="宋体" w:hAnsi="宋体" w:eastAsia="宋体" w:cs="宋体"/>
          <w:color w:val="000000"/>
          <w:sz w:val="24"/>
        </w:rPr>
        <w:t>.</w:t>
      </w:r>
      <w:r>
        <w:rPr>
          <w:rFonts w:hint="eastAsia" w:ascii="宋体" w:hAnsi="宋体" w:cs="宋体"/>
          <w:color w:val="000000"/>
          <w:sz w:val="24"/>
          <w:lang w:val="en-US" w:eastAsia="zh-CN"/>
        </w:rPr>
        <w:t>6</w:t>
      </w:r>
      <w:r>
        <w:rPr>
          <w:rFonts w:hint="eastAsia" w:ascii="宋体" w:hAnsi="宋体" w:eastAsia="宋体" w:cs="宋体"/>
          <w:color w:val="000000"/>
          <w:sz w:val="24"/>
        </w:rPr>
        <w:t>.2大写金额和小写金额不一致的，以大写金额为准；</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27</w:t>
      </w:r>
      <w:r>
        <w:rPr>
          <w:rFonts w:hint="eastAsia" w:ascii="宋体" w:hAnsi="宋体" w:eastAsia="宋体" w:cs="宋体"/>
          <w:color w:val="000000"/>
          <w:sz w:val="24"/>
        </w:rPr>
        <w:t>.</w:t>
      </w:r>
      <w:r>
        <w:rPr>
          <w:rFonts w:hint="eastAsia" w:ascii="宋体" w:hAnsi="宋体" w:cs="宋体"/>
          <w:color w:val="000000"/>
          <w:sz w:val="24"/>
          <w:lang w:val="en-US" w:eastAsia="zh-CN"/>
        </w:rPr>
        <w:t>6</w:t>
      </w:r>
      <w:r>
        <w:rPr>
          <w:rFonts w:hint="eastAsia" w:ascii="宋体" w:hAnsi="宋体" w:eastAsia="宋体" w:cs="宋体"/>
          <w:color w:val="000000"/>
          <w:sz w:val="24"/>
        </w:rPr>
        <w:t>.3单价金额小数点或者百分比有明显错位的，以</w:t>
      </w:r>
      <w:r>
        <w:rPr>
          <w:rFonts w:hint="eastAsia" w:ascii="宋体" w:hAnsi="宋体" w:cs="宋体"/>
          <w:color w:val="000000"/>
          <w:sz w:val="24"/>
          <w:lang w:eastAsia="zh-CN"/>
        </w:rPr>
        <w:t>投标报价表</w:t>
      </w:r>
      <w:r>
        <w:rPr>
          <w:rFonts w:hint="eastAsia" w:ascii="宋体" w:hAnsi="宋体" w:eastAsia="宋体" w:cs="宋体"/>
          <w:color w:val="000000"/>
          <w:sz w:val="24"/>
        </w:rPr>
        <w:t>的总价为准，并修改单价；</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27</w:t>
      </w:r>
      <w:r>
        <w:rPr>
          <w:rFonts w:hint="eastAsia" w:ascii="宋体" w:hAnsi="宋体" w:eastAsia="宋体" w:cs="宋体"/>
          <w:color w:val="000000"/>
          <w:sz w:val="24"/>
        </w:rPr>
        <w:t>.</w:t>
      </w:r>
      <w:r>
        <w:rPr>
          <w:rFonts w:hint="eastAsia" w:ascii="宋体" w:hAnsi="宋体" w:cs="宋体"/>
          <w:color w:val="000000"/>
          <w:sz w:val="24"/>
          <w:lang w:val="en-US" w:eastAsia="zh-CN"/>
        </w:rPr>
        <w:t>6</w:t>
      </w:r>
      <w:r>
        <w:rPr>
          <w:rFonts w:hint="eastAsia" w:ascii="宋体" w:hAnsi="宋体" w:eastAsia="宋体" w:cs="宋体"/>
          <w:color w:val="000000"/>
          <w:sz w:val="24"/>
        </w:rPr>
        <w:t>.4总价金额与按单价汇总金额不一致的，以单价金额计算结果为准。</w:t>
      </w:r>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cs="宋体"/>
          <w:color w:val="000000"/>
          <w:sz w:val="24"/>
          <w:lang w:val="en-US" w:eastAsia="zh-CN"/>
        </w:rPr>
        <w:t>27</w:t>
      </w:r>
      <w:r>
        <w:rPr>
          <w:rFonts w:hint="eastAsia" w:ascii="宋体" w:hAnsi="宋体" w:eastAsia="宋体" w:cs="宋体"/>
          <w:color w:val="000000"/>
          <w:sz w:val="24"/>
        </w:rPr>
        <w:t>.</w:t>
      </w:r>
      <w:r>
        <w:rPr>
          <w:rFonts w:hint="eastAsia" w:ascii="宋体" w:hAnsi="宋体" w:cs="宋体"/>
          <w:color w:val="000000"/>
          <w:sz w:val="24"/>
          <w:lang w:val="en-US" w:eastAsia="zh-CN"/>
        </w:rPr>
        <w:t>6</w:t>
      </w:r>
      <w:r>
        <w:rPr>
          <w:rFonts w:hint="eastAsia" w:ascii="宋体" w:hAnsi="宋体" w:eastAsia="宋体" w:cs="宋体"/>
          <w:color w:val="000000"/>
          <w:sz w:val="24"/>
        </w:rPr>
        <w:t>.5同时出现两种以上不一致的，按照上述顺序修正。修正后的报价经投标人确认后产生约束力，投标人不确认的，其投标无效。</w:t>
      </w:r>
    </w:p>
    <w:p>
      <w:pPr>
        <w:pStyle w:val="17"/>
        <w:spacing w:beforeLines="0" w:afterLines="0" w:line="240" w:lineRule="auto"/>
        <w:rPr>
          <w:rFonts w:hint="eastAsia" w:ascii="宋体" w:hAnsi="宋体" w:eastAsia="宋体" w:cs="宋体"/>
          <w:color w:val="000000"/>
          <w:sz w:val="28"/>
          <w:szCs w:val="28"/>
        </w:rPr>
      </w:pPr>
      <w:bookmarkStart w:id="128" w:name="_Toc55238662"/>
      <w:r>
        <w:rPr>
          <w:rFonts w:hint="eastAsia" w:ascii="宋体" w:hAnsi="宋体" w:eastAsia="宋体" w:cs="宋体"/>
          <w:color w:val="000000"/>
          <w:sz w:val="28"/>
          <w:szCs w:val="28"/>
          <w:lang w:val="en-US" w:eastAsia="zh-CN"/>
        </w:rPr>
        <w:t>28</w:t>
      </w:r>
      <w:r>
        <w:rPr>
          <w:rFonts w:hint="eastAsia" w:ascii="宋体" w:hAnsi="宋体" w:eastAsia="宋体" w:cs="宋体"/>
          <w:color w:val="000000"/>
          <w:sz w:val="28"/>
          <w:szCs w:val="28"/>
        </w:rPr>
        <w:t>. 推荐中标候选人</w:t>
      </w:r>
      <w:bookmarkEnd w:id="128"/>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评标委员会将从能够实质性响应</w:t>
      </w:r>
      <w:r>
        <w:rPr>
          <w:rFonts w:hint="eastAsia" w:ascii="宋体" w:hAnsi="宋体" w:cs="宋体"/>
          <w:color w:val="000000"/>
          <w:sz w:val="24"/>
          <w:lang w:eastAsia="zh-CN"/>
        </w:rPr>
        <w:t>招标文件</w:t>
      </w:r>
      <w:r>
        <w:rPr>
          <w:rFonts w:hint="eastAsia" w:ascii="宋体" w:hAnsi="宋体" w:eastAsia="宋体" w:cs="宋体"/>
          <w:color w:val="000000"/>
          <w:sz w:val="24"/>
        </w:rPr>
        <w:t>要求的投标人中，按照对招标人最优的原则，按照</w:t>
      </w:r>
      <w:r>
        <w:rPr>
          <w:rFonts w:hint="eastAsia" w:ascii="宋体" w:hAnsi="宋体" w:eastAsia="宋体" w:cs="宋体"/>
          <w:b/>
          <w:bCs/>
          <w:color w:val="000000"/>
          <w:sz w:val="24"/>
        </w:rPr>
        <w:t>投标人须知前附表</w:t>
      </w:r>
      <w:r>
        <w:rPr>
          <w:rFonts w:hint="eastAsia" w:ascii="宋体" w:hAnsi="宋体" w:eastAsia="宋体" w:cs="宋体"/>
          <w:color w:val="000000"/>
          <w:sz w:val="24"/>
        </w:rPr>
        <w:t>规定的方式和数量推荐中标候选人。</w:t>
      </w:r>
    </w:p>
    <w:p>
      <w:pPr>
        <w:pStyle w:val="17"/>
        <w:spacing w:beforeLines="0" w:afterLines="0" w:line="240" w:lineRule="auto"/>
        <w:rPr>
          <w:rFonts w:hint="eastAsia" w:ascii="宋体" w:hAnsi="宋体" w:eastAsia="宋体" w:cs="宋体"/>
          <w:color w:val="000000"/>
          <w:sz w:val="28"/>
          <w:szCs w:val="28"/>
        </w:rPr>
      </w:pPr>
      <w:bookmarkStart w:id="129" w:name="_Toc55238663"/>
      <w:r>
        <w:rPr>
          <w:rFonts w:hint="eastAsia" w:ascii="宋体" w:hAnsi="宋体" w:eastAsia="宋体" w:cs="宋体"/>
          <w:color w:val="000000"/>
          <w:sz w:val="28"/>
          <w:szCs w:val="28"/>
          <w:lang w:val="en-US" w:eastAsia="zh-CN"/>
        </w:rPr>
        <w:t>29</w:t>
      </w:r>
      <w:r>
        <w:rPr>
          <w:rFonts w:hint="eastAsia" w:ascii="宋体" w:hAnsi="宋体" w:eastAsia="宋体" w:cs="宋体"/>
          <w:color w:val="000000"/>
          <w:sz w:val="28"/>
          <w:szCs w:val="28"/>
        </w:rPr>
        <w:t>. 评标报告</w:t>
      </w:r>
      <w:bookmarkEnd w:id="129"/>
    </w:p>
    <w:p>
      <w:pPr>
        <w:spacing w:beforeLines="0" w:afterLines="0" w:line="240" w:lineRule="auto"/>
        <w:ind w:firstLine="480" w:firstLineChars="200"/>
        <w:rPr>
          <w:rFonts w:hint="eastAsia" w:ascii="宋体" w:hAnsi="宋体" w:eastAsia="宋体" w:cs="宋体"/>
          <w:color w:val="000000"/>
          <w:sz w:val="24"/>
        </w:rPr>
      </w:pPr>
      <w:r>
        <w:rPr>
          <w:rFonts w:hint="eastAsia" w:ascii="宋体" w:hAnsi="宋体" w:eastAsia="宋体" w:cs="宋体"/>
          <w:sz w:val="24"/>
        </w:rPr>
        <w:t>评标委员会完成评标后，应当向招标人提交书面评标报告</w:t>
      </w:r>
      <w:r>
        <w:rPr>
          <w:rFonts w:hint="eastAsia" w:ascii="宋体" w:hAnsi="宋体" w:eastAsia="宋体" w:cs="宋体"/>
          <w:color w:val="000000"/>
          <w:sz w:val="24"/>
        </w:rPr>
        <w:t>，并由评标委员会全体成员签字确认。</w:t>
      </w:r>
    </w:p>
    <w:p>
      <w:pPr>
        <w:pStyle w:val="17"/>
        <w:spacing w:beforeLines="0" w:afterLines="0" w:line="240" w:lineRule="auto"/>
        <w:rPr>
          <w:rFonts w:hint="eastAsia" w:ascii="宋体" w:hAnsi="宋体" w:eastAsia="宋体" w:cs="宋体"/>
          <w:color w:val="000000"/>
        </w:rPr>
      </w:pPr>
      <w:bookmarkStart w:id="130" w:name="_Toc55238664"/>
      <w:r>
        <w:rPr>
          <w:rFonts w:hint="eastAsia" w:ascii="宋体" w:hAnsi="宋体" w:eastAsia="宋体" w:cs="宋体"/>
          <w:color w:val="000000"/>
        </w:rPr>
        <w:t>36.评标结果公示</w:t>
      </w:r>
      <w:bookmarkEnd w:id="130"/>
    </w:p>
    <w:p>
      <w:pPr>
        <w:spacing w:beforeLines="0" w:afterLines="0" w:line="240" w:lineRule="auto"/>
        <w:ind w:firstLine="484" w:firstLineChars="202"/>
        <w:rPr>
          <w:rFonts w:hint="eastAsia" w:ascii="宋体" w:hAnsi="宋体" w:eastAsia="宋体" w:cs="宋体"/>
          <w:sz w:val="24"/>
          <w:szCs w:val="24"/>
        </w:rPr>
      </w:pPr>
      <w:r>
        <w:rPr>
          <w:rFonts w:hint="eastAsia" w:ascii="宋体" w:hAnsi="宋体" w:cs="宋体"/>
          <w:color w:val="000000"/>
          <w:sz w:val="24"/>
          <w:szCs w:val="24"/>
          <w:lang w:val="en-US" w:eastAsia="zh-CN"/>
        </w:rPr>
        <w:t>29</w:t>
      </w:r>
      <w:r>
        <w:rPr>
          <w:rFonts w:hint="eastAsia" w:ascii="宋体" w:hAnsi="宋体" w:eastAsia="宋体" w:cs="宋体"/>
          <w:color w:val="000000"/>
          <w:sz w:val="24"/>
          <w:szCs w:val="24"/>
        </w:rPr>
        <w:t>.1为体现“公开、公平、公正”的原则，评标报告签署完毕后，</w:t>
      </w:r>
      <w:r>
        <w:rPr>
          <w:rFonts w:hint="eastAsia" w:ascii="宋体" w:hAnsi="宋体" w:eastAsia="宋体" w:cs="宋体"/>
          <w:color w:val="000000"/>
          <w:sz w:val="24"/>
          <w:szCs w:val="24"/>
          <w:lang w:eastAsia="zh-CN"/>
        </w:rPr>
        <w:t>深圳交易集团有限公司龙岗分公司</w:t>
      </w:r>
      <w:r>
        <w:rPr>
          <w:rFonts w:hint="eastAsia" w:ascii="宋体" w:hAnsi="宋体" w:eastAsia="宋体" w:cs="宋体"/>
          <w:color w:val="000000"/>
          <w:sz w:val="24"/>
          <w:szCs w:val="24"/>
        </w:rPr>
        <w:t>将在</w:t>
      </w: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highlight w:val="none"/>
        </w:rPr>
        <w:t>网站（https://www.szggzy.com）对评</w:t>
      </w:r>
      <w:r>
        <w:rPr>
          <w:rFonts w:hint="eastAsia" w:ascii="宋体" w:hAnsi="宋体" w:eastAsia="宋体" w:cs="宋体"/>
          <w:sz w:val="24"/>
          <w:szCs w:val="24"/>
        </w:rPr>
        <w:t>标结果予以公示，公示时间为</w:t>
      </w:r>
      <w:r>
        <w:rPr>
          <w:rFonts w:hint="eastAsia" w:ascii="宋体" w:hAnsi="宋体" w:eastAsia="宋体" w:cs="宋体"/>
          <w:sz w:val="24"/>
          <w:szCs w:val="24"/>
          <w:lang w:val="en-US" w:eastAsia="zh-CN"/>
        </w:rPr>
        <w:t>5个工作</w:t>
      </w:r>
      <w:r>
        <w:rPr>
          <w:rFonts w:hint="eastAsia" w:ascii="宋体" w:hAnsi="宋体" w:eastAsia="宋体" w:cs="宋体"/>
          <w:color w:val="000000"/>
          <w:sz w:val="24"/>
          <w:szCs w:val="24"/>
        </w:rPr>
        <w:t>日</w:t>
      </w:r>
      <w:r>
        <w:rPr>
          <w:rFonts w:hint="eastAsia" w:ascii="宋体" w:hAnsi="宋体" w:eastAsia="宋体" w:cs="宋体"/>
          <w:sz w:val="24"/>
          <w:szCs w:val="24"/>
        </w:rPr>
        <w:t>。</w:t>
      </w:r>
    </w:p>
    <w:p>
      <w:pPr>
        <w:spacing w:beforeLines="0" w:afterLines="0" w:line="240" w:lineRule="auto"/>
        <w:ind w:firstLine="484" w:firstLineChars="202"/>
        <w:rPr>
          <w:rFonts w:hint="eastAsia" w:ascii="宋体" w:hAnsi="宋体" w:eastAsia="宋体" w:cs="宋体"/>
          <w:color w:val="000000"/>
          <w:sz w:val="24"/>
          <w:szCs w:val="24"/>
        </w:rPr>
      </w:pPr>
      <w:r>
        <w:rPr>
          <w:rFonts w:hint="eastAsia" w:ascii="宋体" w:hAnsi="宋体" w:cs="宋体"/>
          <w:sz w:val="24"/>
          <w:szCs w:val="24"/>
          <w:lang w:val="en-US" w:eastAsia="zh-CN"/>
        </w:rPr>
        <w:t>29</w:t>
      </w:r>
      <w:r>
        <w:rPr>
          <w:rFonts w:hint="eastAsia" w:ascii="宋体" w:hAnsi="宋体" w:eastAsia="宋体" w:cs="宋体"/>
          <w:sz w:val="24"/>
          <w:szCs w:val="24"/>
        </w:rPr>
        <w:t>.2评标结果公示期间，招标人采用评定分离原则的，可以进行定标工作。</w:t>
      </w:r>
    </w:p>
    <w:p>
      <w:pPr>
        <w:pStyle w:val="16"/>
        <w:jc w:val="center"/>
        <w:rPr>
          <w:rFonts w:hint="eastAsia" w:ascii="宋体" w:hAnsi="宋体" w:eastAsia="宋体" w:cs="宋体"/>
          <w:b/>
          <w:bCs/>
          <w:color w:val="000000"/>
        </w:rPr>
      </w:pPr>
      <w:bookmarkStart w:id="131" w:name="_Toc55238665"/>
      <w:r>
        <w:rPr>
          <w:rFonts w:hint="eastAsia" w:ascii="宋体" w:hAnsi="宋体" w:eastAsia="宋体" w:cs="宋体"/>
          <w:b/>
          <w:bCs/>
          <w:color w:val="000000"/>
        </w:rPr>
        <w:br w:type="page"/>
      </w:r>
      <w:r>
        <w:rPr>
          <w:rFonts w:hint="eastAsia" w:ascii="宋体" w:hAnsi="宋体" w:eastAsia="宋体" w:cs="宋体"/>
          <w:b/>
          <w:bCs/>
          <w:color w:val="000000"/>
        </w:rPr>
        <w:t>第六章 定标</w:t>
      </w:r>
      <w:bookmarkEnd w:id="131"/>
    </w:p>
    <w:p>
      <w:pPr>
        <w:pStyle w:val="17"/>
        <w:rPr>
          <w:rFonts w:hint="eastAsia" w:ascii="宋体" w:hAnsi="宋体" w:eastAsia="宋体" w:cs="宋体"/>
          <w:color w:val="000000"/>
          <w:sz w:val="28"/>
          <w:szCs w:val="28"/>
        </w:rPr>
      </w:pPr>
      <w:bookmarkStart w:id="132" w:name="_Toc55238666"/>
      <w:r>
        <w:rPr>
          <w:rFonts w:hint="eastAsia" w:ascii="宋体" w:hAnsi="宋体" w:eastAsia="宋体" w:cs="宋体"/>
          <w:color w:val="000000"/>
          <w:sz w:val="28"/>
          <w:szCs w:val="28"/>
        </w:rPr>
        <w:t>3</w:t>
      </w:r>
      <w:r>
        <w:rPr>
          <w:rFonts w:hint="eastAsia" w:ascii="宋体" w:hAnsi="宋体" w:eastAsia="宋体" w:cs="宋体"/>
          <w:color w:val="000000"/>
          <w:sz w:val="28"/>
          <w:szCs w:val="28"/>
          <w:lang w:val="en-US" w:eastAsia="zh-CN"/>
        </w:rPr>
        <w:t>0</w:t>
      </w:r>
      <w:r>
        <w:rPr>
          <w:rFonts w:hint="eastAsia" w:ascii="宋体" w:hAnsi="宋体" w:eastAsia="宋体" w:cs="宋体"/>
          <w:color w:val="000000"/>
          <w:sz w:val="28"/>
          <w:szCs w:val="28"/>
        </w:rPr>
        <w:t>. 定标方法</w:t>
      </w:r>
      <w:bookmarkEnd w:id="132"/>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0</w:t>
      </w:r>
      <w:r>
        <w:rPr>
          <w:rFonts w:hint="eastAsia" w:ascii="宋体" w:hAnsi="宋体" w:eastAsia="宋体" w:cs="宋体"/>
          <w:color w:val="000000"/>
          <w:sz w:val="24"/>
          <w:szCs w:val="24"/>
        </w:rPr>
        <w:t>.1 评定不分离的，评标委员会按</w:t>
      </w:r>
      <w:r>
        <w:rPr>
          <w:rFonts w:hint="eastAsia" w:ascii="宋体" w:hAnsi="宋体" w:eastAsia="宋体" w:cs="宋体"/>
          <w:b/>
          <w:bCs/>
          <w:color w:val="000000"/>
          <w:sz w:val="24"/>
          <w:szCs w:val="24"/>
        </w:rPr>
        <w:t>投标人须知前附表</w:t>
      </w:r>
      <w:r>
        <w:rPr>
          <w:rFonts w:hint="eastAsia" w:ascii="宋体" w:hAnsi="宋体" w:eastAsia="宋体" w:cs="宋体"/>
          <w:color w:val="000000"/>
          <w:sz w:val="24"/>
          <w:szCs w:val="24"/>
        </w:rPr>
        <w:t xml:space="preserve">规定的方式评标后，确定排名第一的投标人作为中标人。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0</w:t>
      </w:r>
      <w:r>
        <w:rPr>
          <w:rFonts w:hint="eastAsia" w:ascii="宋体" w:hAnsi="宋体" w:eastAsia="宋体" w:cs="宋体"/>
          <w:color w:val="000000"/>
          <w:sz w:val="24"/>
          <w:szCs w:val="24"/>
        </w:rPr>
        <w:t>.2评定分离的，定标由招标人按照股份合作公司章程自主组建的定标委员会负责。根据评标结果，招标人可采用得票最高法、</w:t>
      </w:r>
      <w:r>
        <w:rPr>
          <w:rFonts w:hint="eastAsia" w:ascii="宋体" w:hAnsi="宋体" w:eastAsia="宋体" w:cs="宋体"/>
          <w:color w:val="000000"/>
          <w:sz w:val="24"/>
          <w:szCs w:val="24"/>
          <w:highlight w:val="none"/>
        </w:rPr>
        <w:t>集体议事法</w:t>
      </w:r>
      <w:r>
        <w:rPr>
          <w:rFonts w:hint="eastAsia" w:ascii="宋体" w:hAnsi="宋体" w:eastAsia="宋体" w:cs="宋体"/>
          <w:color w:val="000000"/>
          <w:sz w:val="24"/>
          <w:szCs w:val="24"/>
        </w:rPr>
        <w:t>以及法律法规规定的其他定标方法确定中标人。</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0</w:t>
      </w:r>
      <w:r>
        <w:rPr>
          <w:rFonts w:hint="eastAsia" w:ascii="宋体" w:hAnsi="宋体" w:eastAsia="宋体" w:cs="宋体"/>
          <w:color w:val="000000"/>
          <w:sz w:val="24"/>
          <w:szCs w:val="24"/>
        </w:rPr>
        <w:t>.</w:t>
      </w: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本项目是否评定分离</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见</w:t>
      </w:r>
      <w:r>
        <w:rPr>
          <w:rFonts w:hint="eastAsia" w:ascii="宋体" w:hAnsi="宋体" w:eastAsia="宋体" w:cs="宋体"/>
          <w:b/>
          <w:bCs/>
          <w:color w:val="000000"/>
          <w:sz w:val="24"/>
          <w:szCs w:val="24"/>
        </w:rPr>
        <w:t>投标人须知前附表</w:t>
      </w:r>
    </w:p>
    <w:p>
      <w:pPr>
        <w:spacing w:line="40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w:t>
      </w:r>
      <w:r>
        <w:rPr>
          <w:rFonts w:hint="eastAsia" w:ascii="宋体" w:hAnsi="宋体" w:cs="宋体"/>
          <w:color w:val="000000"/>
          <w:sz w:val="24"/>
          <w:szCs w:val="24"/>
          <w:highlight w:val="none"/>
          <w:lang w:val="en-US" w:eastAsia="zh-CN"/>
        </w:rPr>
        <w:t>0</w:t>
      </w:r>
      <w:r>
        <w:rPr>
          <w:rFonts w:hint="eastAsia" w:ascii="宋体" w:hAnsi="宋体" w:eastAsia="宋体" w:cs="宋体"/>
          <w:color w:val="000000"/>
          <w:sz w:val="24"/>
          <w:szCs w:val="24"/>
          <w:highlight w:val="none"/>
        </w:rPr>
        <w:t>.</w:t>
      </w: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本项目采用的定标方法</w:t>
      </w:r>
    </w:p>
    <w:p>
      <w:pPr>
        <w:spacing w:line="400" w:lineRule="exact"/>
        <w:ind w:firstLine="960" w:firstLineChars="4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见</w:t>
      </w:r>
      <w:r>
        <w:rPr>
          <w:rFonts w:hint="eastAsia" w:ascii="宋体" w:hAnsi="宋体" w:eastAsia="宋体" w:cs="宋体"/>
          <w:b/>
          <w:bCs/>
          <w:color w:val="000000"/>
          <w:sz w:val="24"/>
          <w:szCs w:val="24"/>
          <w:highlight w:val="none"/>
        </w:rPr>
        <w:t>投标人须知前附表</w:t>
      </w:r>
    </w:p>
    <w:p>
      <w:pPr>
        <w:pStyle w:val="16"/>
        <w:jc w:val="center"/>
        <w:rPr>
          <w:rFonts w:hint="eastAsia" w:ascii="宋体" w:hAnsi="宋体" w:eastAsia="宋体" w:cs="宋体"/>
          <w:b/>
          <w:bCs/>
          <w:color w:val="000000"/>
          <w:sz w:val="28"/>
          <w:szCs w:val="20"/>
        </w:rPr>
      </w:pPr>
      <w:bookmarkStart w:id="133" w:name="_Toc55238667"/>
      <w:r>
        <w:rPr>
          <w:rFonts w:hint="eastAsia" w:ascii="宋体" w:hAnsi="宋体" w:eastAsia="宋体" w:cs="宋体"/>
          <w:b/>
          <w:bCs/>
          <w:color w:val="000000"/>
          <w:sz w:val="28"/>
          <w:szCs w:val="20"/>
        </w:rPr>
        <w:br w:type="page"/>
      </w:r>
      <w:r>
        <w:rPr>
          <w:rFonts w:hint="eastAsia" w:ascii="宋体" w:hAnsi="宋体" w:eastAsia="宋体" w:cs="宋体"/>
          <w:b/>
          <w:bCs/>
          <w:color w:val="000000"/>
          <w:sz w:val="28"/>
          <w:szCs w:val="20"/>
        </w:rPr>
        <w:t>第七章 合同授予</w:t>
      </w:r>
      <w:bookmarkEnd w:id="133"/>
    </w:p>
    <w:bookmarkEnd w:id="117"/>
    <w:bookmarkEnd w:id="118"/>
    <w:bookmarkEnd w:id="119"/>
    <w:p>
      <w:pPr>
        <w:pStyle w:val="17"/>
        <w:rPr>
          <w:rFonts w:hint="eastAsia" w:ascii="宋体" w:hAnsi="宋体" w:eastAsia="宋体" w:cs="宋体"/>
          <w:color w:val="000000"/>
          <w:sz w:val="28"/>
          <w:szCs w:val="28"/>
        </w:rPr>
      </w:pPr>
      <w:bookmarkStart w:id="134" w:name="_Toc152042344"/>
      <w:bookmarkStart w:id="135" w:name="_Toc144974536"/>
      <w:bookmarkStart w:id="136" w:name="_Toc152045568"/>
      <w:bookmarkStart w:id="137" w:name="_Toc55238668"/>
      <w:r>
        <w:rPr>
          <w:rFonts w:hint="eastAsia" w:ascii="宋体" w:hAnsi="宋体" w:eastAsia="宋体" w:cs="宋体"/>
          <w:color w:val="000000"/>
          <w:sz w:val="28"/>
          <w:szCs w:val="28"/>
        </w:rPr>
        <w:t>3</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rPr>
        <w:t>. 中标通知</w:t>
      </w:r>
      <w:bookmarkEnd w:id="134"/>
      <w:bookmarkEnd w:id="135"/>
      <w:bookmarkEnd w:id="136"/>
      <w:r>
        <w:rPr>
          <w:rFonts w:hint="eastAsia" w:ascii="宋体" w:hAnsi="宋体" w:eastAsia="宋体" w:cs="宋体"/>
          <w:color w:val="000000"/>
          <w:sz w:val="28"/>
          <w:szCs w:val="28"/>
        </w:rPr>
        <w:t>书</w:t>
      </w:r>
      <w:bookmarkEnd w:id="137"/>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.1招标人确定中标人后，将在</w:t>
      </w:r>
      <w:r>
        <w:rPr>
          <w:rFonts w:hint="eastAsia" w:ascii="宋体" w:hAnsi="宋体" w:eastAsia="宋体" w:cs="宋体"/>
          <w:color w:val="000000"/>
          <w:sz w:val="24"/>
          <w:szCs w:val="24"/>
          <w:highlight w:val="none"/>
        </w:rPr>
        <w:t>“</w:t>
      </w:r>
      <w:r>
        <w:rPr>
          <w:rFonts w:hint="eastAsia" w:ascii="宋体" w:hAnsi="宋体" w:eastAsia="宋体" w:cs="宋体"/>
          <w:sz w:val="24"/>
          <w:szCs w:val="24"/>
          <w:lang w:val="en-US" w:eastAsia="zh-CN"/>
        </w:rPr>
        <w:t>深圳公共资源交易</w:t>
      </w:r>
      <w:r>
        <w:rPr>
          <w:rFonts w:hint="eastAsia" w:ascii="宋体" w:hAnsi="宋体" w:eastAsia="宋体" w:cs="宋体"/>
          <w:sz w:val="24"/>
          <w:szCs w:val="24"/>
        </w:rPr>
        <w:t>网站</w:t>
      </w:r>
      <w:r>
        <w:rPr>
          <w:rFonts w:hint="eastAsia" w:ascii="宋体" w:hAnsi="宋体" w:eastAsia="宋体" w:cs="宋体"/>
          <w:sz w:val="24"/>
          <w:szCs w:val="24"/>
          <w:highlight w:val="none"/>
        </w:rPr>
        <w:t>（https://www.szggzy.com）</w:t>
      </w:r>
      <w:r>
        <w:rPr>
          <w:rFonts w:hint="eastAsia" w:ascii="宋体" w:hAnsi="宋体" w:eastAsia="宋体" w:cs="宋体"/>
          <w:color w:val="000000"/>
          <w:sz w:val="24"/>
          <w:szCs w:val="24"/>
          <w:highlight w:val="none"/>
        </w:rPr>
        <w:t>公示中标结果</w:t>
      </w:r>
      <w:r>
        <w:rPr>
          <w:rFonts w:hint="eastAsia" w:ascii="宋体" w:hAnsi="宋体" w:eastAsia="宋体" w:cs="宋体"/>
          <w:color w:val="000000"/>
          <w:sz w:val="24"/>
          <w:szCs w:val="24"/>
        </w:rPr>
        <w:t>，公示期为</w:t>
      </w: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个工作日。如对中标结果有异议的，请于公示期内，以书面形式向</w:t>
      </w:r>
      <w:r>
        <w:rPr>
          <w:rFonts w:hint="eastAsia" w:ascii="宋体" w:hAnsi="宋体" w:eastAsia="宋体" w:cs="宋体"/>
          <w:color w:val="000000"/>
          <w:sz w:val="24"/>
          <w:szCs w:val="24"/>
          <w:lang w:eastAsia="zh-CN"/>
        </w:rPr>
        <w:t>深圳交易集团有限公司龙岗分公司</w:t>
      </w:r>
      <w:r>
        <w:rPr>
          <w:rFonts w:hint="eastAsia" w:ascii="宋体" w:hAnsi="宋体" w:eastAsia="宋体" w:cs="宋体"/>
          <w:color w:val="000000"/>
          <w:sz w:val="24"/>
          <w:szCs w:val="24"/>
        </w:rPr>
        <w:t>反映。若在公示期内未提出异议，则视为认同该交易结果。</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.2</w:t>
      </w:r>
      <w:r>
        <w:rPr>
          <w:rFonts w:hint="eastAsia" w:ascii="宋体" w:hAnsi="宋体" w:eastAsia="宋体" w:cs="宋体"/>
          <w:color w:val="000000"/>
          <w:sz w:val="24"/>
          <w:szCs w:val="24"/>
          <w:lang w:eastAsia="zh-CN"/>
        </w:rPr>
        <w:t>深圳交易集团有限公司龙岗分公司</w:t>
      </w:r>
      <w:r>
        <w:rPr>
          <w:rFonts w:hint="eastAsia" w:ascii="宋体" w:hAnsi="宋体" w:eastAsia="宋体" w:cs="宋体"/>
          <w:color w:val="000000"/>
          <w:sz w:val="24"/>
          <w:szCs w:val="24"/>
        </w:rPr>
        <w:t>有权视异议处理情况决定是否中止本项目进展。</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.3中标结果公示期结束后无异议的，将通过</w:t>
      </w:r>
      <w:r>
        <w:rPr>
          <w:rFonts w:hint="eastAsia" w:ascii="宋体" w:hAnsi="宋体" w:eastAsia="宋体" w:cs="宋体"/>
          <w:color w:val="000000"/>
          <w:sz w:val="24"/>
          <w:szCs w:val="24"/>
          <w:lang w:eastAsia="zh-CN"/>
        </w:rPr>
        <w:t>深圳交易集团有限公司龙岗分公司</w:t>
      </w:r>
      <w:r>
        <w:rPr>
          <w:rFonts w:hint="eastAsia" w:ascii="宋体" w:hAnsi="宋体" w:eastAsia="宋体" w:cs="宋体"/>
          <w:color w:val="000000"/>
          <w:sz w:val="24"/>
          <w:szCs w:val="24"/>
        </w:rPr>
        <w:t>向中标人发放中标通知书。</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cs="宋体"/>
          <w:sz w:val="24"/>
          <w:szCs w:val="24"/>
          <w:lang w:val="en-US" w:eastAsia="zh-CN"/>
        </w:rPr>
        <w:t>1</w:t>
      </w:r>
      <w:r>
        <w:rPr>
          <w:rFonts w:hint="eastAsia" w:ascii="宋体" w:hAnsi="宋体" w:eastAsia="宋体" w:cs="宋体"/>
          <w:sz w:val="24"/>
          <w:szCs w:val="24"/>
        </w:rPr>
        <w:t>.4中标人应在</w:t>
      </w:r>
      <w:r>
        <w:rPr>
          <w:rFonts w:hint="eastAsia" w:ascii="宋体" w:hAnsi="宋体" w:eastAsia="宋体" w:cs="宋体"/>
          <w:sz w:val="24"/>
          <w:szCs w:val="24"/>
          <w:lang w:eastAsia="zh-CN"/>
        </w:rPr>
        <w:t>付款通知书发出</w:t>
      </w:r>
      <w:r>
        <w:rPr>
          <w:rFonts w:hint="eastAsia" w:ascii="宋体" w:hAnsi="宋体" w:eastAsia="宋体" w:cs="宋体"/>
          <w:sz w:val="24"/>
          <w:szCs w:val="24"/>
        </w:rPr>
        <w:t>后</w:t>
      </w:r>
      <w:r>
        <w:rPr>
          <w:rFonts w:hint="eastAsia" w:ascii="宋体" w:hAnsi="宋体" w:eastAsia="宋体" w:cs="宋体"/>
          <w:sz w:val="24"/>
          <w:szCs w:val="24"/>
          <w:lang w:val="en-US" w:eastAsia="zh-CN"/>
        </w:rPr>
        <w:t>3</w:t>
      </w:r>
      <w:r>
        <w:rPr>
          <w:rFonts w:hint="eastAsia" w:ascii="宋体" w:hAnsi="宋体" w:eastAsia="宋体" w:cs="宋体"/>
          <w:sz w:val="24"/>
          <w:szCs w:val="24"/>
        </w:rPr>
        <w:t>个工作日内，向深圳交易集团有限公司支付本项目交易服务费。</w:t>
      </w:r>
    </w:p>
    <w:p>
      <w:pPr>
        <w:pStyle w:val="17"/>
        <w:rPr>
          <w:rFonts w:hint="eastAsia" w:ascii="宋体" w:hAnsi="宋体" w:eastAsia="宋体" w:cs="宋体"/>
          <w:color w:val="000000"/>
          <w:sz w:val="28"/>
          <w:szCs w:val="28"/>
        </w:rPr>
      </w:pPr>
      <w:bookmarkStart w:id="138" w:name="_Toc152045570"/>
      <w:bookmarkStart w:id="139" w:name="_Toc55238669"/>
      <w:bookmarkStart w:id="140" w:name="_Toc152042346"/>
      <w:bookmarkStart w:id="141" w:name="_Toc144974538"/>
      <w:r>
        <w:rPr>
          <w:rFonts w:hint="eastAsia" w:ascii="宋体" w:hAnsi="宋体" w:eastAsia="宋体" w:cs="宋体"/>
          <w:color w:val="000000"/>
          <w:sz w:val="28"/>
          <w:szCs w:val="28"/>
          <w:lang w:val="en-US" w:eastAsia="zh-CN"/>
        </w:rPr>
        <w:t>32</w:t>
      </w:r>
      <w:r>
        <w:rPr>
          <w:rFonts w:hint="eastAsia" w:ascii="宋体" w:hAnsi="宋体" w:eastAsia="宋体" w:cs="宋体"/>
          <w:color w:val="000000"/>
          <w:sz w:val="28"/>
          <w:szCs w:val="28"/>
        </w:rPr>
        <w:t>. 签订合同</w:t>
      </w:r>
      <w:bookmarkEnd w:id="138"/>
      <w:bookmarkEnd w:id="139"/>
      <w:bookmarkEnd w:id="140"/>
      <w:bookmarkEnd w:id="141"/>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.1招标人和中标人应当自中标通知书发出</w:t>
      </w:r>
      <w:r>
        <w:rPr>
          <w:rFonts w:hint="eastAsia" w:ascii="宋体" w:hAnsi="宋体" w:cs="宋体"/>
          <w:color w:val="000000"/>
          <w:sz w:val="24"/>
          <w:szCs w:val="24"/>
          <w:lang w:val="en-US" w:eastAsia="zh-CN"/>
        </w:rPr>
        <w:t>后</w:t>
      </w:r>
      <w:r>
        <w:rPr>
          <w:rFonts w:hint="eastAsia" w:ascii="宋体" w:hAnsi="宋体" w:eastAsia="宋体" w:cs="宋体"/>
          <w:color w:val="000000"/>
          <w:sz w:val="24"/>
          <w:szCs w:val="24"/>
        </w:rPr>
        <w:t>，根据</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和投标文件订立书面合同。</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.2 发出中标通知书后，中标人无正当理由拒签合同的，取消其中标资格，其已交纳的</w:t>
      </w:r>
      <w:r>
        <w:rPr>
          <w:rFonts w:hint="eastAsia" w:ascii="宋体" w:hAnsi="宋体" w:eastAsia="宋体" w:cs="宋体"/>
          <w:color w:val="000000"/>
          <w:sz w:val="24"/>
          <w:szCs w:val="24"/>
          <w:lang w:eastAsia="zh-CN"/>
        </w:rPr>
        <w:t>交易保证金</w:t>
      </w:r>
      <w:r>
        <w:rPr>
          <w:rFonts w:hint="eastAsia" w:ascii="宋体" w:hAnsi="宋体" w:eastAsia="宋体" w:cs="宋体"/>
          <w:color w:val="000000"/>
          <w:sz w:val="24"/>
          <w:szCs w:val="24"/>
        </w:rPr>
        <w:t>不予退还，</w:t>
      </w:r>
      <w:r>
        <w:rPr>
          <w:rFonts w:hint="eastAsia" w:ascii="宋体" w:hAnsi="宋体" w:eastAsia="宋体" w:cs="宋体"/>
          <w:color w:val="000000"/>
          <w:sz w:val="24"/>
          <w:szCs w:val="24"/>
          <w:lang w:eastAsia="zh-CN"/>
        </w:rPr>
        <w:t>深圳交易集团有限公司龙岗分公司</w:t>
      </w:r>
      <w:r>
        <w:rPr>
          <w:rFonts w:hint="eastAsia" w:ascii="宋体" w:hAnsi="宋体" w:eastAsia="宋体" w:cs="宋体"/>
          <w:color w:val="000000"/>
          <w:sz w:val="24"/>
          <w:szCs w:val="24"/>
        </w:rPr>
        <w:t>在扣除服务费后，将剩余的</w:t>
      </w:r>
      <w:r>
        <w:rPr>
          <w:rFonts w:hint="eastAsia" w:ascii="宋体" w:hAnsi="宋体" w:eastAsia="宋体" w:cs="宋体"/>
          <w:color w:val="000000"/>
          <w:sz w:val="24"/>
          <w:szCs w:val="24"/>
          <w:lang w:eastAsia="zh-CN"/>
        </w:rPr>
        <w:t>交易保证金</w:t>
      </w:r>
      <w:r>
        <w:rPr>
          <w:rFonts w:hint="eastAsia" w:ascii="宋体" w:hAnsi="宋体" w:eastAsia="宋体" w:cs="宋体"/>
          <w:color w:val="000000"/>
          <w:sz w:val="24"/>
          <w:szCs w:val="24"/>
        </w:rPr>
        <w:t>转给招标人；招标人无正当理由拒签合同的，</w:t>
      </w:r>
      <w:r>
        <w:rPr>
          <w:rFonts w:hint="eastAsia" w:ascii="宋体" w:hAnsi="宋体" w:eastAsia="宋体" w:cs="宋体"/>
          <w:sz w:val="24"/>
          <w:szCs w:val="24"/>
        </w:rPr>
        <w:t xml:space="preserve">须赔偿中标人实际发生的损失。 </w:t>
      </w:r>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w:t>
      </w: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.3招标人应当自合同签订之日起十日内，将合同复印件送</w:t>
      </w:r>
      <w:r>
        <w:rPr>
          <w:rFonts w:hint="eastAsia" w:ascii="宋体" w:hAnsi="宋体" w:eastAsia="宋体" w:cs="宋体"/>
          <w:color w:val="000000"/>
          <w:sz w:val="24"/>
          <w:szCs w:val="24"/>
          <w:lang w:eastAsia="zh-CN"/>
        </w:rPr>
        <w:t>深圳交易集团有限公司龙岗分公司</w:t>
      </w:r>
      <w:r>
        <w:rPr>
          <w:rFonts w:hint="eastAsia" w:ascii="宋体" w:hAnsi="宋体" w:eastAsia="宋体" w:cs="宋体"/>
          <w:color w:val="000000"/>
          <w:sz w:val="24"/>
          <w:szCs w:val="24"/>
        </w:rPr>
        <w:t>留存。</w:t>
      </w:r>
    </w:p>
    <w:p>
      <w:pPr>
        <w:pStyle w:val="17"/>
        <w:rPr>
          <w:rFonts w:hint="eastAsia" w:ascii="宋体" w:hAnsi="宋体" w:eastAsia="宋体" w:cs="宋体"/>
          <w:color w:val="000000"/>
          <w:sz w:val="28"/>
          <w:szCs w:val="28"/>
        </w:rPr>
      </w:pPr>
      <w:bookmarkStart w:id="142" w:name="_Toc144974537"/>
      <w:bookmarkStart w:id="143" w:name="_Toc152045569"/>
      <w:bookmarkStart w:id="144" w:name="_Toc152042345"/>
      <w:bookmarkStart w:id="145" w:name="_Toc55238670"/>
      <w:r>
        <w:rPr>
          <w:rFonts w:hint="eastAsia" w:ascii="宋体" w:hAnsi="宋体" w:eastAsia="宋体" w:cs="宋体"/>
          <w:color w:val="000000"/>
          <w:sz w:val="28"/>
          <w:szCs w:val="28"/>
          <w:lang w:val="en-US" w:eastAsia="zh-CN"/>
        </w:rPr>
        <w:t>33</w:t>
      </w:r>
      <w:r>
        <w:rPr>
          <w:rFonts w:hint="eastAsia" w:ascii="宋体" w:hAnsi="宋体" w:eastAsia="宋体" w:cs="宋体"/>
          <w:color w:val="000000"/>
          <w:sz w:val="28"/>
          <w:szCs w:val="28"/>
        </w:rPr>
        <w:t xml:space="preserve">. </w:t>
      </w:r>
      <w:bookmarkEnd w:id="142"/>
      <w:bookmarkEnd w:id="143"/>
      <w:bookmarkEnd w:id="144"/>
      <w:r>
        <w:rPr>
          <w:rFonts w:hint="eastAsia" w:ascii="宋体" w:hAnsi="宋体" w:eastAsia="宋体" w:cs="宋体"/>
          <w:color w:val="000000"/>
          <w:sz w:val="28"/>
          <w:szCs w:val="28"/>
        </w:rPr>
        <w:t>履约保证金</w:t>
      </w:r>
      <w:bookmarkEnd w:id="145"/>
    </w:p>
    <w:p>
      <w:pPr>
        <w:spacing w:line="400" w:lineRule="exact"/>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rPr>
        <w:t>.1在签订合同后，中标人应按</w:t>
      </w:r>
      <w:r>
        <w:rPr>
          <w:rFonts w:hint="eastAsia" w:ascii="宋体" w:hAnsi="宋体" w:eastAsia="宋体" w:cs="宋体"/>
          <w:b/>
          <w:bCs/>
          <w:color w:val="000000"/>
          <w:sz w:val="24"/>
          <w:szCs w:val="24"/>
        </w:rPr>
        <w:t>投标人须知前附表</w:t>
      </w:r>
      <w:r>
        <w:rPr>
          <w:rFonts w:hint="eastAsia" w:ascii="宋体" w:hAnsi="宋体" w:eastAsia="宋体" w:cs="宋体"/>
          <w:color w:val="000000"/>
          <w:sz w:val="24"/>
          <w:szCs w:val="24"/>
        </w:rPr>
        <w:t>规定的金额向招标人提交履约保证金。中标人为联合体的，其履约保证金由牵头人递交。</w:t>
      </w:r>
    </w:p>
    <w:p>
      <w:pPr>
        <w:spacing w:line="400" w:lineRule="exact"/>
        <w:ind w:firstLine="480" w:firstLineChars="200"/>
        <w:rPr>
          <w:rFonts w:hint="eastAsia" w:ascii="宋体" w:hAnsi="宋体" w:eastAsia="宋体" w:cs="宋体"/>
          <w:color w:val="000000"/>
          <w:sz w:val="24"/>
          <w:szCs w:val="24"/>
        </w:rPr>
      </w:pPr>
      <w:r>
        <w:rPr>
          <w:rFonts w:hint="eastAsia" w:ascii="宋体" w:hAnsi="宋体" w:cs="宋体"/>
          <w:color w:val="000000"/>
          <w:sz w:val="24"/>
          <w:szCs w:val="24"/>
          <w:lang w:val="en-US" w:eastAsia="zh-CN"/>
        </w:rPr>
        <w:t>33</w:t>
      </w:r>
      <w:r>
        <w:rPr>
          <w:rFonts w:hint="eastAsia" w:ascii="宋体" w:hAnsi="宋体" w:eastAsia="宋体" w:cs="宋体"/>
          <w:color w:val="000000"/>
          <w:sz w:val="24"/>
          <w:szCs w:val="24"/>
        </w:rPr>
        <w:t>.2 若中标人未在合同规定时间内补齐履约保证金的，视为放弃交易，已交纳的</w:t>
      </w:r>
      <w:r>
        <w:rPr>
          <w:rFonts w:hint="eastAsia" w:ascii="宋体" w:hAnsi="宋体" w:eastAsia="宋体" w:cs="宋体"/>
          <w:color w:val="000000"/>
          <w:sz w:val="24"/>
          <w:szCs w:val="24"/>
          <w:lang w:eastAsia="zh-CN"/>
        </w:rPr>
        <w:t>交易保证金</w:t>
      </w:r>
      <w:r>
        <w:rPr>
          <w:rFonts w:hint="eastAsia" w:ascii="宋体" w:hAnsi="宋体" w:eastAsia="宋体" w:cs="宋体"/>
          <w:color w:val="000000"/>
          <w:sz w:val="24"/>
          <w:szCs w:val="24"/>
        </w:rPr>
        <w:t>不予退还，</w:t>
      </w:r>
      <w:r>
        <w:rPr>
          <w:rFonts w:hint="eastAsia" w:ascii="宋体" w:hAnsi="宋体" w:eastAsia="宋体" w:cs="宋体"/>
          <w:color w:val="000000"/>
          <w:sz w:val="24"/>
          <w:szCs w:val="24"/>
          <w:lang w:eastAsia="zh-CN"/>
        </w:rPr>
        <w:t>交易保证金</w:t>
      </w:r>
      <w:r>
        <w:rPr>
          <w:rFonts w:hint="eastAsia" w:ascii="宋体" w:hAnsi="宋体" w:eastAsia="宋体" w:cs="宋体"/>
          <w:color w:val="000000"/>
          <w:sz w:val="24"/>
          <w:szCs w:val="24"/>
        </w:rPr>
        <w:t>归招标人所有。</w:t>
      </w:r>
    </w:p>
    <w:p>
      <w:pPr>
        <w:spacing w:line="400" w:lineRule="exact"/>
        <w:ind w:firstLine="420" w:firstLineChars="200"/>
        <w:rPr>
          <w:rFonts w:hint="eastAsia" w:ascii="宋体" w:hAnsi="宋体" w:eastAsia="宋体" w:cs="宋体"/>
          <w:color w:val="000000"/>
        </w:rPr>
      </w:pPr>
    </w:p>
    <w:p>
      <w:pPr>
        <w:pStyle w:val="16"/>
        <w:jc w:val="center"/>
        <w:rPr>
          <w:rFonts w:hint="eastAsia" w:ascii="宋体" w:hAnsi="宋体" w:eastAsia="宋体" w:cs="宋体"/>
          <w:color w:val="000000"/>
        </w:rPr>
      </w:pPr>
      <w:bookmarkStart w:id="146" w:name="_Toc55238673"/>
      <w:bookmarkStart w:id="147" w:name="_Toc152042350"/>
      <w:bookmarkStart w:id="148" w:name="_Toc144974542"/>
      <w:bookmarkStart w:id="149" w:name="_Toc152045574"/>
      <w:r>
        <w:rPr>
          <w:rFonts w:hint="eastAsia" w:ascii="宋体" w:hAnsi="宋体" w:eastAsia="宋体" w:cs="宋体"/>
          <w:b/>
          <w:bCs/>
          <w:color w:val="000000"/>
        </w:rPr>
        <w:br w:type="page"/>
      </w:r>
      <w:r>
        <w:rPr>
          <w:rFonts w:hint="eastAsia" w:ascii="宋体" w:hAnsi="宋体" w:eastAsia="宋体" w:cs="宋体"/>
          <w:b/>
          <w:bCs/>
          <w:color w:val="000000"/>
        </w:rPr>
        <w:t>第</w:t>
      </w:r>
      <w:r>
        <w:rPr>
          <w:rFonts w:hint="eastAsia" w:ascii="宋体" w:hAnsi="宋体" w:eastAsia="宋体" w:cs="宋体"/>
          <w:b/>
          <w:bCs/>
          <w:color w:val="000000"/>
          <w:lang w:eastAsia="zh-CN"/>
        </w:rPr>
        <w:t>八</w:t>
      </w:r>
      <w:r>
        <w:rPr>
          <w:rFonts w:hint="eastAsia" w:ascii="宋体" w:hAnsi="宋体" w:eastAsia="宋体" w:cs="宋体"/>
          <w:b/>
          <w:bCs/>
          <w:color w:val="000000"/>
        </w:rPr>
        <w:t>章 纪律和监督</w:t>
      </w:r>
      <w:bookmarkEnd w:id="146"/>
      <w:bookmarkEnd w:id="147"/>
      <w:bookmarkEnd w:id="148"/>
      <w:bookmarkEnd w:id="149"/>
    </w:p>
    <w:p>
      <w:pPr>
        <w:pStyle w:val="17"/>
        <w:rPr>
          <w:rFonts w:hint="eastAsia" w:ascii="宋体" w:hAnsi="宋体" w:eastAsia="宋体" w:cs="宋体"/>
          <w:color w:val="000000"/>
          <w:sz w:val="28"/>
          <w:szCs w:val="28"/>
        </w:rPr>
      </w:pPr>
      <w:bookmarkStart w:id="150" w:name="_Toc152045575"/>
      <w:bookmarkStart w:id="151" w:name="_Toc144974543"/>
      <w:bookmarkStart w:id="152" w:name="_Toc152042351"/>
      <w:bookmarkStart w:id="153" w:name="_Toc55238674"/>
      <w:r>
        <w:rPr>
          <w:rFonts w:hint="eastAsia" w:ascii="宋体" w:hAnsi="宋体" w:eastAsia="宋体" w:cs="宋体"/>
          <w:color w:val="000000"/>
          <w:sz w:val="28"/>
          <w:szCs w:val="28"/>
          <w:lang w:val="en-US" w:eastAsia="zh-CN"/>
        </w:rPr>
        <w:t>34</w:t>
      </w:r>
      <w:r>
        <w:rPr>
          <w:rFonts w:hint="eastAsia" w:ascii="宋体" w:hAnsi="宋体" w:eastAsia="宋体" w:cs="宋体"/>
          <w:color w:val="000000"/>
          <w:sz w:val="28"/>
          <w:szCs w:val="28"/>
        </w:rPr>
        <w:t>. 对招标人的纪律要求</w:t>
      </w:r>
      <w:bookmarkEnd w:id="150"/>
      <w:bookmarkEnd w:id="151"/>
      <w:bookmarkEnd w:id="152"/>
      <w:bookmarkEnd w:id="153"/>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招标人不得泄漏招标活动中应当保密的情况和资料，不得与投标人串通损害国家利益、社会公共利益或者他人合法权益。</w:t>
      </w:r>
    </w:p>
    <w:p>
      <w:pPr>
        <w:pStyle w:val="17"/>
        <w:rPr>
          <w:rFonts w:hint="eastAsia" w:ascii="宋体" w:hAnsi="宋体" w:eastAsia="宋体" w:cs="宋体"/>
          <w:color w:val="000000"/>
          <w:sz w:val="28"/>
          <w:szCs w:val="28"/>
        </w:rPr>
      </w:pPr>
      <w:bookmarkStart w:id="154" w:name="_Toc152045576"/>
      <w:bookmarkStart w:id="155" w:name="_Toc144974544"/>
      <w:bookmarkStart w:id="156" w:name="_Toc152042352"/>
      <w:bookmarkStart w:id="157" w:name="_Toc55238675"/>
      <w:r>
        <w:rPr>
          <w:rFonts w:hint="eastAsia" w:ascii="宋体" w:hAnsi="宋体" w:eastAsia="宋体" w:cs="宋体"/>
          <w:color w:val="000000"/>
          <w:sz w:val="28"/>
          <w:szCs w:val="28"/>
          <w:lang w:val="en-US" w:eastAsia="zh-CN"/>
        </w:rPr>
        <w:t>35</w:t>
      </w:r>
      <w:r>
        <w:rPr>
          <w:rFonts w:hint="eastAsia" w:ascii="宋体" w:hAnsi="宋体" w:eastAsia="宋体" w:cs="宋体"/>
          <w:color w:val="000000"/>
          <w:sz w:val="28"/>
          <w:szCs w:val="28"/>
        </w:rPr>
        <w:t>. 对投标人的纪律要求</w:t>
      </w:r>
      <w:bookmarkEnd w:id="154"/>
      <w:bookmarkEnd w:id="155"/>
      <w:bookmarkEnd w:id="156"/>
      <w:bookmarkEnd w:id="157"/>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投标人不得相互串通投标或者与招标人串通投标，不得向招标人或者评标委员会成员行贿谋取中标人资格，不得以他人名义投标或者以其他方式弄虚作假骗取中标人资格；投标人不得以任何方式干扰、影响评标工作。</w:t>
      </w:r>
    </w:p>
    <w:p>
      <w:pPr>
        <w:pStyle w:val="17"/>
        <w:rPr>
          <w:rFonts w:hint="eastAsia" w:ascii="宋体" w:hAnsi="宋体" w:eastAsia="宋体" w:cs="宋体"/>
          <w:color w:val="000000"/>
          <w:sz w:val="28"/>
          <w:szCs w:val="28"/>
        </w:rPr>
      </w:pPr>
      <w:bookmarkStart w:id="158" w:name="_Toc144974545"/>
      <w:bookmarkStart w:id="159" w:name="_Toc152042353"/>
      <w:bookmarkStart w:id="160" w:name="_Toc55238676"/>
      <w:bookmarkStart w:id="161" w:name="_Toc152045577"/>
      <w:r>
        <w:rPr>
          <w:rFonts w:hint="eastAsia" w:ascii="宋体" w:hAnsi="宋体" w:eastAsia="宋体" w:cs="宋体"/>
          <w:color w:val="000000"/>
          <w:sz w:val="28"/>
          <w:szCs w:val="28"/>
          <w:lang w:val="en-US" w:eastAsia="zh-CN"/>
        </w:rPr>
        <w:t>36</w:t>
      </w:r>
      <w:r>
        <w:rPr>
          <w:rFonts w:hint="eastAsia" w:ascii="宋体" w:hAnsi="宋体" w:eastAsia="宋体" w:cs="宋体"/>
          <w:color w:val="000000"/>
          <w:sz w:val="28"/>
          <w:szCs w:val="28"/>
        </w:rPr>
        <w:t>. 对评标委员会的纪律要求</w:t>
      </w:r>
      <w:bookmarkEnd w:id="158"/>
      <w:bookmarkEnd w:id="159"/>
      <w:bookmarkEnd w:id="160"/>
      <w:bookmarkEnd w:id="161"/>
    </w:p>
    <w:p>
      <w:pPr>
        <w:spacing w:line="40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六章“评标程序和评标办法”没有规定的评审因素和标准进行评标。</w:t>
      </w:r>
    </w:p>
    <w:p>
      <w:pPr>
        <w:pStyle w:val="17"/>
        <w:rPr>
          <w:rFonts w:hint="eastAsia" w:ascii="宋体" w:hAnsi="宋体" w:eastAsia="宋体" w:cs="宋体"/>
          <w:color w:val="000000"/>
          <w:sz w:val="28"/>
          <w:szCs w:val="28"/>
        </w:rPr>
      </w:pPr>
      <w:bookmarkStart w:id="162" w:name="_Toc152045578"/>
      <w:bookmarkStart w:id="163" w:name="_Toc152042354"/>
      <w:bookmarkStart w:id="164" w:name="_Toc55238677"/>
      <w:bookmarkStart w:id="165" w:name="_Toc144974546"/>
      <w:r>
        <w:rPr>
          <w:rFonts w:hint="eastAsia" w:ascii="宋体" w:hAnsi="宋体" w:eastAsia="宋体" w:cs="宋体"/>
          <w:color w:val="000000"/>
          <w:sz w:val="28"/>
          <w:szCs w:val="28"/>
          <w:lang w:val="en-US" w:eastAsia="zh-CN"/>
        </w:rPr>
        <w:t>37</w:t>
      </w:r>
      <w:r>
        <w:rPr>
          <w:rFonts w:hint="eastAsia" w:ascii="宋体" w:hAnsi="宋体" w:eastAsia="宋体" w:cs="宋体"/>
          <w:color w:val="000000"/>
          <w:sz w:val="28"/>
          <w:szCs w:val="28"/>
        </w:rPr>
        <w:t>. 对与评标活动有关的工作人员的纪律要求</w:t>
      </w:r>
      <w:bookmarkEnd w:id="162"/>
      <w:bookmarkEnd w:id="163"/>
      <w:bookmarkEnd w:id="164"/>
    </w:p>
    <w:p>
      <w:pPr>
        <w:spacing w:line="400" w:lineRule="exact"/>
        <w:ind w:firstLine="480" w:firstLineChars="200"/>
        <w:rPr>
          <w:rFonts w:hint="eastAsia" w:ascii="宋体" w:hAnsi="宋体" w:eastAsia="宋体" w:cs="宋体"/>
          <w:color w:val="000000"/>
          <w:sz w:val="24"/>
          <w:szCs w:val="24"/>
        </w:rPr>
      </w:pPr>
      <w:bookmarkStart w:id="166" w:name="_Toc152042355"/>
      <w:r>
        <w:rPr>
          <w:rFonts w:hint="eastAsia" w:ascii="宋体" w:hAnsi="宋体" w:eastAsia="宋体" w:cs="宋体"/>
          <w:color w:val="000000"/>
          <w:sz w:val="24"/>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166"/>
    </w:p>
    <w:bookmarkEnd w:id="165"/>
    <w:p>
      <w:pPr>
        <w:spacing w:line="400" w:lineRule="exact"/>
        <w:ind w:firstLine="420" w:firstLineChars="200"/>
        <w:rPr>
          <w:rFonts w:hint="eastAsia" w:ascii="宋体" w:hAnsi="宋体" w:eastAsia="宋体" w:cs="宋体"/>
          <w:color w:val="000000"/>
        </w:rPr>
      </w:pPr>
    </w:p>
    <w:p>
      <w:pPr>
        <w:spacing w:line="400" w:lineRule="exact"/>
        <w:rPr>
          <w:rFonts w:hint="eastAsia" w:ascii="宋体" w:hAnsi="宋体" w:eastAsia="宋体" w:cs="宋体"/>
          <w:color w:val="000000"/>
        </w:rPr>
      </w:pPr>
      <w:r>
        <w:rPr>
          <w:rFonts w:hint="eastAsia" w:ascii="宋体" w:hAnsi="宋体" w:eastAsia="宋体" w:cs="宋体"/>
          <w:color w:val="000000"/>
        </w:rPr>
        <w:br w:type="page"/>
      </w:r>
    </w:p>
    <w:p>
      <w:pPr>
        <w:pStyle w:val="3"/>
        <w:spacing w:before="120" w:after="120" w:line="400" w:lineRule="exact"/>
        <w:jc w:val="center"/>
        <w:rPr>
          <w:rFonts w:hint="eastAsia" w:ascii="宋体" w:hAnsi="宋体" w:eastAsia="宋体" w:cs="宋体"/>
          <w:b w:val="0"/>
          <w:bCs w:val="0"/>
          <w:color w:val="000000"/>
          <w:sz w:val="32"/>
        </w:rPr>
      </w:pPr>
      <w:bookmarkStart w:id="167" w:name="_Toc55238680"/>
      <w:bookmarkStart w:id="168" w:name="_Toc428896438"/>
      <w:r>
        <w:rPr>
          <w:rFonts w:hint="eastAsia" w:ascii="宋体" w:hAnsi="宋体" w:eastAsia="宋体" w:cs="宋体"/>
          <w:b/>
          <w:bCs/>
          <w:color w:val="000000"/>
          <w:sz w:val="32"/>
        </w:rPr>
        <w:t>第</w:t>
      </w:r>
      <w:r>
        <w:rPr>
          <w:rFonts w:hint="eastAsia" w:ascii="宋体" w:hAnsi="宋体" w:cs="宋体"/>
          <w:b/>
          <w:bCs/>
          <w:color w:val="000000"/>
          <w:sz w:val="32"/>
          <w:lang w:val="en-US" w:eastAsia="zh-CN"/>
        </w:rPr>
        <w:t>二</w:t>
      </w:r>
      <w:r>
        <w:rPr>
          <w:rFonts w:hint="eastAsia" w:ascii="宋体" w:hAnsi="宋体" w:eastAsia="宋体" w:cs="宋体"/>
          <w:b/>
          <w:bCs/>
          <w:color w:val="000000"/>
          <w:sz w:val="32"/>
        </w:rPr>
        <w:t>部分  项目需求</w:t>
      </w:r>
      <w:bookmarkEnd w:id="167"/>
      <w:bookmarkEnd w:id="168"/>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为了响应政府号召，促进集体资产管理的制度化、规范化、民主化，落实群众的知情权、参与权和监督权。根据《龙岗区集体产权交易监督管理办法》（深龙府办规[2020]3号）、《龙岗区社区股份合作公司集体用地开发和交易监管实施细则》（深龙府办规[2022]2号）、《深圳市龙岗区国资局关于进一步促进股份合作公司集体用地合作开发和交易的通知》（深龙国资[2022]33号）及相关文件规定，深圳市力元吓股份合作公司、深圳市前进股份合作公司、深圳市伍屋围氹元股份合作公司、深圳市伍屋围九巷股份合作公司、深圳市元屋围股份合作公司、深圳市伍屋围北门坳股份合作公司、深圳市龙岗旧圩股份合作公司等7个自然村股份公司（以下简称“7个自然村股份公司”）委托深圳市新南股份合作公司统一作为本项目的招商方（以下简称“招商方”），按照“公平、公正、竞争、择优”的原则，通过深圳交易集团有限公司龙岗分公司进行公开招商选择本项目的合作方。招商方编制了龙岗区平湖街道凤凰工业园城市更新项目合作招商方案（以下简称“本方案”）。</w:t>
      </w:r>
    </w:p>
    <w:p>
      <w:pPr>
        <w:spacing w:line="560" w:lineRule="exact"/>
        <w:rPr>
          <w:rFonts w:hint="eastAsia" w:ascii="宋体" w:hAnsi="宋体" w:eastAsia="宋体" w:cs="宋体"/>
          <w:b/>
          <w:bCs/>
          <w:sz w:val="24"/>
          <w:szCs w:val="24"/>
        </w:rPr>
      </w:pPr>
      <w:r>
        <w:rPr>
          <w:rFonts w:hint="eastAsia" w:ascii="宋体" w:hAnsi="宋体" w:eastAsia="宋体" w:cs="宋体"/>
          <w:b/>
          <w:bCs/>
          <w:sz w:val="24"/>
          <w:szCs w:val="24"/>
        </w:rPr>
        <w:t>一、城市更新项目集体用地基本情况</w:t>
      </w:r>
    </w:p>
    <w:p>
      <w:pPr>
        <w:spacing w:beforeLines="0" w:afterLines="0"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1、项目基本情况</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位于深圳市龙岗区平湖街道，于2018年12月纳入《2018年龙岗区城市更新单元计划第七批计划》，于2021年6月24日取得《深圳市龙岗区人民政府关于&lt;龙岗区平湖街道凤凰工业园城市更新单元规划&gt;审批情况的通知》（深龙府函〔2021〕24号）。本项目更新单元计划申报主体、规划申报主体均为深圳大承企业管理有限公司（以下简称“大承公司”）。</w:t>
      </w:r>
    </w:p>
    <w:p>
      <w:pPr>
        <w:spacing w:beforeLines="0" w:afterLines="0"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mc:AlternateContent>
          <mc:Choice Requires="wps">
            <w:drawing>
              <wp:anchor distT="0" distB="0" distL="114300" distR="114300" simplePos="0" relativeHeight="251660288" behindDoc="0" locked="0" layoutInCell="1" allowOverlap="1">
                <wp:simplePos x="0" y="0"/>
                <wp:positionH relativeFrom="column">
                  <wp:posOffset>-2165350</wp:posOffset>
                </wp:positionH>
                <wp:positionV relativeFrom="paragraph">
                  <wp:posOffset>3501390</wp:posOffset>
                </wp:positionV>
                <wp:extent cx="497205" cy="231775"/>
                <wp:effectExtent l="5080" t="4445" r="15875" b="7620"/>
                <wp:wrapNone/>
                <wp:docPr id="2" name="圆角矩形标注 2"/>
                <wp:cNvGraphicFramePr/>
                <a:graphic xmlns:a="http://schemas.openxmlformats.org/drawingml/2006/main">
                  <a:graphicData uri="http://schemas.microsoft.com/office/word/2010/wordprocessingShape">
                    <wps:wsp>
                      <wps:cNvSpPr>
                        <a:spLocks noChangeArrowheads="1"/>
                      </wps:cNvSpPr>
                      <wps:spPr bwMode="auto">
                        <a:xfrm>
                          <a:off x="0" y="0"/>
                          <a:ext cx="497205" cy="231775"/>
                        </a:xfrm>
                        <a:prstGeom prst="wedgeRoundRectCallout">
                          <a:avLst>
                            <a:gd name="adj1" fmla="val 27819"/>
                            <a:gd name="adj2" fmla="val 14528"/>
                            <a:gd name="adj3" fmla="val 16667"/>
                          </a:avLst>
                        </a:prstGeom>
                        <a:solidFill>
                          <a:srgbClr val="800080"/>
                        </a:solidFill>
                        <a:ln w="9525">
                          <a:solidFill>
                            <a:srgbClr val="000000"/>
                          </a:solidFill>
                          <a:miter lim="800000"/>
                        </a:ln>
                        <a:effectLst/>
                      </wps:spPr>
                      <wps:txbx>
                        <w:txbxContent>
                          <w:p>
                            <w:pPr>
                              <w:rPr>
                                <w:rFonts w:ascii="黑体" w:eastAsia="黑体"/>
                                <w:sz w:val="18"/>
                                <w:szCs w:val="18"/>
                              </w:rPr>
                            </w:pPr>
                            <w:r>
                              <w:rPr>
                                <w:rFonts w:hint="eastAsia" w:ascii="黑体" w:eastAsia="黑体"/>
                                <w:sz w:val="18"/>
                                <w:szCs w:val="18"/>
                              </w:rPr>
                              <w:t>项目位置</w:t>
                            </w:r>
                          </w:p>
                        </w:txbxContent>
                      </wps:txbx>
                      <wps:bodyPr rot="0" vert="horz" wrap="square" lIns="91440" tIns="45720" rIns="91440" bIns="45720" anchor="t" anchorCtr="0" upright="1">
                        <a:noAutofit/>
                      </wps:bodyPr>
                    </wps:wsp>
                  </a:graphicData>
                </a:graphic>
              </wp:anchor>
            </w:drawing>
          </mc:Choice>
          <mc:Fallback>
            <w:pict>
              <v:shape id="_x0000_s1026" o:spid="_x0000_s1026" o:spt="62" type="#_x0000_t62" style="position:absolute;left:0pt;margin-left:-170.5pt;margin-top:275.7pt;height:18.25pt;width:39.15pt;z-index:251660288;mso-width-relative:page;mso-height-relative:page;" fillcolor="#800080" filled="t" stroked="t" coordsize="21600,21600" o:gfxdata="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6tqQHNsA&#10;AAANAQAADwAAAAAAAAABACAAAAAiAAAAZHJzL2Rvd25yZXYueG1sUEsBAhQAFAAAAAgAh07iQDVM&#10;L0OOAgAAGQUAAA4AAAAAAAAAAQAgAAAAKgEAAGRycy9lMm9Eb2MueG1sUEsFBgAAAAAGAAYAWQEA&#10;ACoGAAAAAA==&#10;" adj="16809,13938,14400">
                <v:fill on="t" focussize="0,0"/>
                <v:stroke color="#000000" miterlimit="8" joinstyle="miter"/>
                <v:imagedata o:title=""/>
                <o:lock v:ext="edit" aspectratio="f"/>
                <v:textbox>
                  <w:txbxContent>
                    <w:p>
                      <w:pPr>
                        <w:rPr>
                          <w:rFonts w:ascii="黑体" w:eastAsia="黑体"/>
                          <w:sz w:val="18"/>
                          <w:szCs w:val="18"/>
                        </w:rPr>
                      </w:pPr>
                      <w:r>
                        <w:rPr>
                          <w:rFonts w:hint="eastAsia" w:ascii="黑体" w:eastAsia="黑体"/>
                          <w:sz w:val="18"/>
                          <w:szCs w:val="18"/>
                        </w:rPr>
                        <w:t>项目位置</w:t>
                      </w:r>
                    </w:p>
                  </w:txbxContent>
                </v:textbox>
              </v:shape>
            </w:pict>
          </mc:Fallback>
        </mc:AlternateContent>
      </w:r>
      <w:r>
        <w:rPr>
          <w:rFonts w:hint="eastAsia" w:ascii="宋体" w:hAnsi="宋体" w:eastAsia="宋体" w:cs="宋体"/>
          <w:b/>
          <w:sz w:val="24"/>
          <w:szCs w:val="24"/>
        </w:rPr>
        <w:t>2、项目集体用地状况</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本项目专项规划批复，本项目更新范围用地面积为138,999.8㎡，拆除范围用地面积138,642.4㎡，其中，城中村用地79,538.4㎡，符合历史遗留违法建筑处理相关规定，已办理房地产权登记或已取得意见书的用地31,922.92㎡(与城中村用地重叠22,950.43㎡)。</w:t>
      </w:r>
      <w:bookmarkStart w:id="169" w:name="_Hlk29446666"/>
      <w:r>
        <w:rPr>
          <w:rFonts w:hint="eastAsia" w:ascii="宋体" w:hAnsi="宋体" w:eastAsia="宋体" w:cs="宋体"/>
          <w:sz w:val="24"/>
          <w:szCs w:val="24"/>
        </w:rPr>
        <w:t>本项目更新范围涉及招商方及7个自然村股份公司拥有权益的集体土地面积为106,719.48㎡，其中涉及第三方权益的租地建厂土地面积4,993㎡，股份公司实际控制土地面积为101,726.48㎡，本项目还涉及招商方拥有全部权益的非农建设用地指标面积为79,538.4㎡（宗地号：G05417-6001号）。</w:t>
      </w:r>
    </w:p>
    <w:bookmarkEnd w:id="169"/>
    <w:p>
      <w:pPr>
        <w:spacing w:beforeLines="0" w:afterLines="0"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3、项目集体现状物业状况</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根据本项目测绘报告，</w:t>
      </w:r>
      <w:bookmarkStart w:id="170" w:name="_Hlk29446474"/>
      <w:r>
        <w:rPr>
          <w:rFonts w:hint="eastAsia" w:ascii="宋体" w:hAnsi="宋体" w:eastAsia="宋体" w:cs="宋体"/>
          <w:sz w:val="24"/>
          <w:szCs w:val="24"/>
        </w:rPr>
        <w:t>项目更新范围</w:t>
      </w:r>
      <w:bookmarkEnd w:id="170"/>
      <w:r>
        <w:rPr>
          <w:rFonts w:hint="eastAsia" w:ascii="宋体" w:hAnsi="宋体" w:eastAsia="宋体" w:cs="宋体"/>
          <w:sz w:val="24"/>
          <w:szCs w:val="24"/>
        </w:rPr>
        <w:t>内建筑物现状用途为工业厂房及配套建筑，</w:t>
      </w:r>
      <w:bookmarkStart w:id="171" w:name="_Hlk29446886"/>
      <w:r>
        <w:rPr>
          <w:rFonts w:hint="eastAsia" w:ascii="宋体" w:hAnsi="宋体" w:eastAsia="宋体" w:cs="宋体"/>
          <w:sz w:val="24"/>
          <w:szCs w:val="24"/>
        </w:rPr>
        <w:t>其中：房地产权属于股份公司集体资产的为招商方及7个自然村股份公司的地上永久性建筑物建筑面积83,083.60㎡、临时建筑物及构筑物及附着物计水平投影面积21,689.78 ㎡（具体以测绘报告所载数据为准，详见下表-凤凰工业园项目集体物业情况）。</w:t>
      </w:r>
      <w:bookmarkEnd w:id="171"/>
    </w:p>
    <w:p>
      <w:pPr>
        <w:spacing w:line="560" w:lineRule="exact"/>
        <w:ind w:firstLine="480" w:firstLineChars="200"/>
        <w:rPr>
          <w:rFonts w:hint="eastAsia" w:ascii="宋体" w:hAnsi="宋体" w:eastAsia="宋体" w:cs="宋体"/>
          <w:sz w:val="24"/>
          <w:szCs w:val="24"/>
        </w:rPr>
      </w:pPr>
    </w:p>
    <w:p>
      <w:pPr>
        <w:widowControl/>
        <w:spacing w:line="360" w:lineRule="exact"/>
        <w:jc w:val="center"/>
        <w:rPr>
          <w:rFonts w:hint="eastAsia" w:ascii="宋体" w:hAnsi="宋体" w:eastAsia="宋体" w:cs="宋体"/>
          <w:b/>
          <w:bCs/>
          <w:kern w:val="0"/>
          <w:sz w:val="24"/>
          <w:szCs w:val="24"/>
        </w:rPr>
      </w:pPr>
      <w:bookmarkStart w:id="172" w:name="RANGE!A2:G11"/>
      <w:r>
        <w:rPr>
          <w:rFonts w:hint="eastAsia" w:ascii="宋体" w:hAnsi="宋体" w:eastAsia="宋体" w:cs="宋体"/>
          <w:b/>
          <w:bCs/>
          <w:kern w:val="0"/>
          <w:sz w:val="24"/>
          <w:szCs w:val="24"/>
        </w:rPr>
        <w:br w:type="page"/>
      </w:r>
    </w:p>
    <w:tbl>
      <w:tblPr>
        <w:tblStyle w:val="12"/>
        <w:tblW w:w="9907" w:type="dxa"/>
        <w:tblInd w:w="-666" w:type="dxa"/>
        <w:tblLayout w:type="fixed"/>
        <w:tblCellMar>
          <w:top w:w="0" w:type="dxa"/>
          <w:left w:w="108" w:type="dxa"/>
          <w:bottom w:w="0" w:type="dxa"/>
          <w:right w:w="108" w:type="dxa"/>
        </w:tblCellMar>
      </w:tblPr>
      <w:tblGrid>
        <w:gridCol w:w="525"/>
        <w:gridCol w:w="1732"/>
        <w:gridCol w:w="2753"/>
        <w:gridCol w:w="1095"/>
        <w:gridCol w:w="1297"/>
        <w:gridCol w:w="1073"/>
        <w:gridCol w:w="1432"/>
      </w:tblGrid>
      <w:tr>
        <w:tblPrEx>
          <w:tblCellMar>
            <w:top w:w="0" w:type="dxa"/>
            <w:left w:w="108" w:type="dxa"/>
            <w:bottom w:w="0" w:type="dxa"/>
            <w:right w:w="108" w:type="dxa"/>
          </w:tblCellMar>
        </w:tblPrEx>
        <w:trPr>
          <w:trHeight w:val="575" w:hRule="atLeast"/>
        </w:trPr>
        <w:tc>
          <w:tcPr>
            <w:tcW w:w="9907" w:type="dxa"/>
            <w:gridSpan w:val="7"/>
            <w:tcBorders>
              <w:top w:val="nil"/>
              <w:left w:val="nil"/>
              <w:bottom w:val="nil"/>
              <w:right w:val="nil"/>
            </w:tcBorders>
            <w:shd w:val="clear" w:color="000000" w:fill="FFFFFF"/>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凤凰工业园项目集体物业情况</w:t>
            </w:r>
            <w:bookmarkEnd w:id="172"/>
          </w:p>
        </w:tc>
      </w:tr>
      <w:tr>
        <w:tblPrEx>
          <w:tblCellMar>
            <w:top w:w="0" w:type="dxa"/>
            <w:left w:w="108" w:type="dxa"/>
            <w:bottom w:w="0" w:type="dxa"/>
            <w:right w:w="108" w:type="dxa"/>
          </w:tblCellMar>
        </w:tblPrEx>
        <w:trPr>
          <w:trHeight w:val="1843" w:hRule="atLeast"/>
        </w:trPr>
        <w:tc>
          <w:tcPr>
            <w:tcW w:w="5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序号</w:t>
            </w:r>
          </w:p>
        </w:tc>
        <w:tc>
          <w:tcPr>
            <w:tcW w:w="17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权利人</w:t>
            </w:r>
          </w:p>
        </w:tc>
        <w:tc>
          <w:tcPr>
            <w:tcW w:w="275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物业构成</w:t>
            </w:r>
          </w:p>
        </w:tc>
        <w:tc>
          <w:tcPr>
            <w:tcW w:w="1095"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权属占地面积（㎡）</w:t>
            </w:r>
          </w:p>
        </w:tc>
        <w:tc>
          <w:tcPr>
            <w:tcW w:w="1297"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永久性建筑面积（㎡）</w:t>
            </w:r>
          </w:p>
        </w:tc>
        <w:tc>
          <w:tcPr>
            <w:tcW w:w="107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永久物业面积小计（㎡）</w:t>
            </w:r>
          </w:p>
        </w:tc>
        <w:tc>
          <w:tcPr>
            <w:tcW w:w="14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kern w:val="0"/>
                <w:sz w:val="21"/>
                <w:szCs w:val="21"/>
              </w:rPr>
            </w:pPr>
            <w:r>
              <w:rPr>
                <w:rFonts w:hint="eastAsia" w:ascii="宋体" w:hAnsi="宋体" w:eastAsia="宋体" w:cs="宋体"/>
                <w:b/>
                <w:bCs/>
                <w:kern w:val="0"/>
                <w:sz w:val="21"/>
                <w:szCs w:val="21"/>
              </w:rPr>
              <w:t>临时性建筑物、构筑物及附着物投影面积（㎡）</w:t>
            </w:r>
          </w:p>
        </w:tc>
      </w:tr>
      <w:tr>
        <w:tblPrEx>
          <w:tblCellMar>
            <w:top w:w="0" w:type="dxa"/>
            <w:left w:w="108" w:type="dxa"/>
            <w:bottom w:w="0" w:type="dxa"/>
            <w:right w:w="108" w:type="dxa"/>
          </w:tblCellMar>
        </w:tblPrEx>
        <w:trPr>
          <w:trHeight w:val="1483"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w:t>
            </w:r>
          </w:p>
        </w:tc>
        <w:tc>
          <w:tcPr>
            <w:tcW w:w="1732" w:type="dxa"/>
            <w:tcBorders>
              <w:top w:val="nil"/>
              <w:left w:val="nil"/>
              <w:bottom w:val="nil"/>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深圳市新南股份合作公司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B3、B4、B5、B6、B7、C1、C3、C4、D1栋、宿舍楼、门卫室及配套用房、C7栋（占30.894%）、C8栋（占30.894%）</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101,726.48</w:t>
            </w:r>
          </w:p>
        </w:tc>
        <w:tc>
          <w:tcPr>
            <w:tcW w:w="12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66,894.617 </w:t>
            </w:r>
          </w:p>
        </w:tc>
        <w:tc>
          <w:tcPr>
            <w:tcW w:w="1073"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66,894.617</w:t>
            </w:r>
          </w:p>
        </w:tc>
        <w:tc>
          <w:tcPr>
            <w:tcW w:w="1432" w:type="dxa"/>
            <w:tcBorders>
              <w:top w:val="nil"/>
              <w:left w:val="nil"/>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19472.58</w:t>
            </w:r>
          </w:p>
        </w:tc>
      </w:tr>
      <w:tr>
        <w:tblPrEx>
          <w:tblCellMar>
            <w:top w:w="0" w:type="dxa"/>
            <w:left w:w="108" w:type="dxa"/>
            <w:bottom w:w="0" w:type="dxa"/>
            <w:right w:w="108" w:type="dxa"/>
          </w:tblCellMar>
        </w:tblPrEx>
        <w:trPr>
          <w:trHeight w:val="762"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w:t>
            </w:r>
          </w:p>
        </w:tc>
        <w:tc>
          <w:tcPr>
            <w:tcW w:w="17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深圳市力元吓股份合作公司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C5栋（占100%）、C6栋（占100%）</w:t>
            </w:r>
          </w:p>
        </w:tc>
        <w:tc>
          <w:tcPr>
            <w:tcW w:w="109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129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9,654.59</w:t>
            </w:r>
          </w:p>
        </w:tc>
        <w:tc>
          <w:tcPr>
            <w:tcW w:w="1073"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9,654.59</w:t>
            </w:r>
          </w:p>
        </w:tc>
        <w:tc>
          <w:tcPr>
            <w:tcW w:w="1432"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2217.2</w:t>
            </w:r>
          </w:p>
        </w:tc>
      </w:tr>
      <w:tr>
        <w:tblPrEx>
          <w:tblCellMar>
            <w:top w:w="0" w:type="dxa"/>
            <w:left w:w="108" w:type="dxa"/>
            <w:bottom w:w="0" w:type="dxa"/>
            <w:right w:w="108" w:type="dxa"/>
          </w:tblCellMar>
        </w:tblPrEx>
        <w:trPr>
          <w:trHeight w:val="762"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3</w:t>
            </w:r>
          </w:p>
        </w:tc>
        <w:tc>
          <w:tcPr>
            <w:tcW w:w="17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深圳市前进股份合作公司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C7栋（占21.68%）、C8栋（占21.68%）</w:t>
            </w:r>
          </w:p>
        </w:tc>
        <w:tc>
          <w:tcPr>
            <w:tcW w:w="109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129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2,049.976 </w:t>
            </w:r>
          </w:p>
        </w:tc>
        <w:tc>
          <w:tcPr>
            <w:tcW w:w="107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6534.393 </w:t>
            </w:r>
          </w:p>
        </w:tc>
        <w:tc>
          <w:tcPr>
            <w:tcW w:w="14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r>
      <w:tr>
        <w:tblPrEx>
          <w:tblCellMar>
            <w:top w:w="0" w:type="dxa"/>
            <w:left w:w="108" w:type="dxa"/>
            <w:bottom w:w="0" w:type="dxa"/>
            <w:right w:w="108" w:type="dxa"/>
          </w:tblCellMar>
        </w:tblPrEx>
        <w:trPr>
          <w:trHeight w:val="762"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4</w:t>
            </w:r>
          </w:p>
        </w:tc>
        <w:tc>
          <w:tcPr>
            <w:tcW w:w="17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深圳市伍屋围氹元股份合作公司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C7栋（占13.55%）、C8栋（占13.55%）</w:t>
            </w:r>
          </w:p>
        </w:tc>
        <w:tc>
          <w:tcPr>
            <w:tcW w:w="109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129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1,281.235 </w:t>
            </w:r>
          </w:p>
        </w:tc>
        <w:tc>
          <w:tcPr>
            <w:tcW w:w="10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p>
        </w:tc>
        <w:tc>
          <w:tcPr>
            <w:tcW w:w="14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r>
      <w:tr>
        <w:tblPrEx>
          <w:tblCellMar>
            <w:top w:w="0" w:type="dxa"/>
            <w:left w:w="108" w:type="dxa"/>
            <w:bottom w:w="0" w:type="dxa"/>
            <w:right w:w="108" w:type="dxa"/>
          </w:tblCellMar>
        </w:tblPrEx>
        <w:trPr>
          <w:trHeight w:val="762"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5</w:t>
            </w:r>
          </w:p>
        </w:tc>
        <w:tc>
          <w:tcPr>
            <w:tcW w:w="17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深圳市伍屋围九巷股份合作公司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C7栋（占13.55%）、C8栋（占13.55%）</w:t>
            </w:r>
          </w:p>
        </w:tc>
        <w:tc>
          <w:tcPr>
            <w:tcW w:w="109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129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1,281.235 </w:t>
            </w:r>
          </w:p>
        </w:tc>
        <w:tc>
          <w:tcPr>
            <w:tcW w:w="10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p>
        </w:tc>
        <w:tc>
          <w:tcPr>
            <w:tcW w:w="14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r>
      <w:tr>
        <w:tblPrEx>
          <w:tblCellMar>
            <w:top w:w="0" w:type="dxa"/>
            <w:left w:w="108" w:type="dxa"/>
            <w:bottom w:w="0" w:type="dxa"/>
            <w:right w:w="108" w:type="dxa"/>
          </w:tblCellMar>
        </w:tblPrEx>
        <w:trPr>
          <w:trHeight w:val="762"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6</w:t>
            </w:r>
          </w:p>
        </w:tc>
        <w:tc>
          <w:tcPr>
            <w:tcW w:w="17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深圳市元屋围股份合作公司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C7栋（占8.13%）、C8栋（占8.13%）</w:t>
            </w:r>
          </w:p>
        </w:tc>
        <w:tc>
          <w:tcPr>
            <w:tcW w:w="109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129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768.741 </w:t>
            </w:r>
          </w:p>
        </w:tc>
        <w:tc>
          <w:tcPr>
            <w:tcW w:w="10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p>
        </w:tc>
        <w:tc>
          <w:tcPr>
            <w:tcW w:w="14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r>
      <w:tr>
        <w:tblPrEx>
          <w:tblCellMar>
            <w:top w:w="0" w:type="dxa"/>
            <w:left w:w="108" w:type="dxa"/>
            <w:bottom w:w="0" w:type="dxa"/>
            <w:right w:w="108" w:type="dxa"/>
          </w:tblCellMar>
        </w:tblPrEx>
        <w:trPr>
          <w:trHeight w:val="1112"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7</w:t>
            </w:r>
          </w:p>
        </w:tc>
        <w:tc>
          <w:tcPr>
            <w:tcW w:w="17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深圳市伍屋围北门坳股份合作公司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C7栋（占6.776%）、C8栋（占6.776%）</w:t>
            </w:r>
          </w:p>
        </w:tc>
        <w:tc>
          <w:tcPr>
            <w:tcW w:w="109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129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640.712 </w:t>
            </w:r>
          </w:p>
        </w:tc>
        <w:tc>
          <w:tcPr>
            <w:tcW w:w="10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p>
        </w:tc>
        <w:tc>
          <w:tcPr>
            <w:tcW w:w="14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r>
      <w:tr>
        <w:tblPrEx>
          <w:tblCellMar>
            <w:top w:w="0" w:type="dxa"/>
            <w:left w:w="108" w:type="dxa"/>
            <w:bottom w:w="0" w:type="dxa"/>
            <w:right w:w="108" w:type="dxa"/>
          </w:tblCellMar>
        </w:tblPrEx>
        <w:trPr>
          <w:trHeight w:val="762" w:hRule="atLeast"/>
        </w:trPr>
        <w:tc>
          <w:tcPr>
            <w:tcW w:w="525" w:type="dxa"/>
            <w:tcBorders>
              <w:top w:val="nil"/>
              <w:left w:val="single" w:color="auto" w:sz="4" w:space="0"/>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8</w:t>
            </w:r>
          </w:p>
        </w:tc>
        <w:tc>
          <w:tcPr>
            <w:tcW w:w="17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深圳市龙岗旧圩股份合作公司</w:t>
            </w:r>
          </w:p>
        </w:tc>
        <w:tc>
          <w:tcPr>
            <w:tcW w:w="2753"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C7栋（占5.42%）、C8栋（占5.42%）</w:t>
            </w:r>
          </w:p>
        </w:tc>
        <w:tc>
          <w:tcPr>
            <w:tcW w:w="1095"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c>
          <w:tcPr>
            <w:tcW w:w="1297"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 xml:space="preserve">512.494 </w:t>
            </w:r>
          </w:p>
        </w:tc>
        <w:tc>
          <w:tcPr>
            <w:tcW w:w="1073"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p>
        </w:tc>
        <w:tc>
          <w:tcPr>
            <w:tcW w:w="1432" w:type="dxa"/>
            <w:tcBorders>
              <w:top w:val="nil"/>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w:t>
            </w:r>
          </w:p>
        </w:tc>
      </w:tr>
      <w:tr>
        <w:tblPrEx>
          <w:tblCellMar>
            <w:top w:w="0" w:type="dxa"/>
            <w:left w:w="108" w:type="dxa"/>
            <w:bottom w:w="0" w:type="dxa"/>
            <w:right w:w="108" w:type="dxa"/>
          </w:tblCellMar>
        </w:tblPrEx>
        <w:trPr>
          <w:trHeight w:val="782" w:hRule="atLeast"/>
        </w:trPr>
        <w:tc>
          <w:tcPr>
            <w:tcW w:w="501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合计</w:t>
            </w:r>
          </w:p>
        </w:tc>
        <w:tc>
          <w:tcPr>
            <w:tcW w:w="10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101726.48</w:t>
            </w:r>
          </w:p>
        </w:tc>
        <w:tc>
          <w:tcPr>
            <w:tcW w:w="1297"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83,083.60</w:t>
            </w:r>
          </w:p>
        </w:tc>
        <w:tc>
          <w:tcPr>
            <w:tcW w:w="107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83,083.60</w:t>
            </w:r>
          </w:p>
        </w:tc>
        <w:tc>
          <w:tcPr>
            <w:tcW w:w="14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val="0"/>
                <w:bCs w:val="0"/>
                <w:kern w:val="0"/>
                <w:sz w:val="21"/>
                <w:szCs w:val="21"/>
              </w:rPr>
            </w:pPr>
            <w:r>
              <w:rPr>
                <w:rFonts w:hint="eastAsia" w:ascii="宋体" w:hAnsi="宋体" w:eastAsia="宋体" w:cs="宋体"/>
                <w:b w:val="0"/>
                <w:bCs w:val="0"/>
                <w:kern w:val="0"/>
                <w:sz w:val="21"/>
                <w:szCs w:val="21"/>
              </w:rPr>
              <w:t>21,689.78</w:t>
            </w:r>
          </w:p>
        </w:tc>
      </w:tr>
    </w:tbl>
    <w:p>
      <w:pPr>
        <w:spacing w:line="500" w:lineRule="exact"/>
        <w:rPr>
          <w:rFonts w:hint="eastAsia" w:ascii="宋体" w:hAnsi="宋体" w:eastAsia="宋体" w:cs="宋体"/>
          <w:b/>
          <w:bCs/>
          <w:sz w:val="24"/>
          <w:szCs w:val="24"/>
        </w:rPr>
      </w:pPr>
    </w:p>
    <w:p>
      <w:pPr>
        <w:spacing w:line="560" w:lineRule="exact"/>
        <w:ind w:firstLine="0" w:firstLineChars="0"/>
        <w:rPr>
          <w:rFonts w:hint="eastAsia" w:ascii="宋体" w:hAnsi="宋体" w:eastAsia="宋体" w:cs="宋体"/>
          <w:b/>
          <w:bCs w:val="0"/>
          <w:sz w:val="24"/>
          <w:szCs w:val="24"/>
        </w:rPr>
      </w:pPr>
      <w:r>
        <w:rPr>
          <w:rFonts w:hint="eastAsia" w:ascii="宋体" w:hAnsi="宋体" w:eastAsia="宋体" w:cs="宋体"/>
          <w:b/>
          <w:bCs w:val="0"/>
          <w:sz w:val="24"/>
          <w:szCs w:val="24"/>
        </w:rPr>
        <w:br w:type="page"/>
      </w:r>
      <w:r>
        <w:rPr>
          <w:rFonts w:hint="eastAsia" w:ascii="宋体" w:hAnsi="宋体" w:eastAsia="宋体" w:cs="宋体"/>
          <w:b/>
          <w:bCs w:val="0"/>
          <w:sz w:val="24"/>
          <w:szCs w:val="24"/>
        </w:rPr>
        <w:t>二、城市更新单元规划指标情况</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深圳市龙岗区人民政府关于&lt;龙岗区平湖街道凤凰工业园城市更新单元规划&gt;审批情况的通知》（深龙府函〔2021〕24号），通过改造，本项目更新范围用地面积为138,999.8㎡，拆除范围用地面积为138,642.4㎡，开发建设用地面积为79,538.4㎡，容积率为6.1，规划容积487,970㎡，其中：住宅426,810㎡（含出售型安居商品房29,877㎡），商业、办公及旅馆业建筑39,440㎡（含母婴室80㎡，社区菜市场500㎡），公共配套设施（含地下）21,720 ㎡（含12班幼儿园3200㎡、占地面积3600㎡，9班幼儿园2400㎡、占地面积2700㎡，社区管理用房300㎡，社区警务室50㎡，便民服务站（社区服务中心）400㎡，党群服务中心650㎡，文化活动室2000㎡，社区健康服务中心1000㎡，社区老年人日间照料中心1500㎡，社区级公共配套用房2630㎡，综合车站6000㎡，公共充电站1100㎡，邮政所100㎡，小型垃圾转运站200㎡，再生资源回收站60㎡，公共厕所120㎡，环卫工人作息房10㎡）。另配建社区体育活动场地占地面积6000㎡。物业服务用房按照《深圳市经济特区物业管理条例》予以核定。</w:t>
      </w:r>
    </w:p>
    <w:p>
      <w:pPr>
        <w:spacing w:line="240" w:lineRule="auto"/>
        <w:rPr>
          <w:rFonts w:hint="eastAsia" w:ascii="宋体" w:hAnsi="宋体" w:eastAsia="宋体" w:cs="宋体"/>
          <w:b/>
          <w:bCs/>
          <w:sz w:val="24"/>
          <w:szCs w:val="24"/>
        </w:rPr>
      </w:pPr>
    </w:p>
    <w:p>
      <w:pPr>
        <w:spacing w:line="240" w:lineRule="auto"/>
        <w:rPr>
          <w:rFonts w:hint="eastAsia" w:ascii="宋体" w:hAnsi="宋体" w:eastAsia="宋体" w:cs="宋体"/>
          <w:b/>
          <w:bCs w:val="0"/>
          <w:sz w:val="24"/>
          <w:szCs w:val="24"/>
        </w:rPr>
      </w:pPr>
      <w:r>
        <w:rPr>
          <w:rFonts w:hint="eastAsia" w:ascii="宋体" w:hAnsi="宋体" w:eastAsia="宋体" w:cs="宋体"/>
          <w:b/>
          <w:bCs w:val="0"/>
          <w:sz w:val="24"/>
          <w:szCs w:val="24"/>
        </w:rPr>
        <w:t>三、项目可行性分析报告及集体资产评估结果</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本项目更新范围内涉及招商方及7个自然村股份公司拥有的集体资产包括集体土地面积为106,719.48㎡、地上永久性建筑物的建筑面积为83,083.60㎡、临时建筑物及构筑物及附着物计水平投影面积为21,689.78 ㎡，非农建设用地指标约79,538.4㎡（宗地号：G05417-6001号）。</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深圳市一统土地房地产评估工程咨询勘测有限公司对本项目城市更新的可行性进行研究，对本项目集体物业现状价值、集体土地在城市更新设定规划条件下的土地使用权市场价值及非农建设用地指标价值进行评估，出具了项目经济可行性分析报告和评估报告，另经深圳市世鹏资产评估房地产土地估价顾问有限公司对本项目出具的集体物业各项评估数据进行了复核，出具了复核意见书。</w:t>
      </w:r>
    </w:p>
    <w:p>
      <w:pPr>
        <w:spacing w:beforeLines="0" w:afterLines="0" w:line="240" w:lineRule="auto"/>
        <w:ind w:firstLine="0" w:firstLineChars="0"/>
        <w:rPr>
          <w:rFonts w:hint="eastAsia" w:ascii="宋体" w:hAnsi="宋体" w:eastAsia="宋体" w:cs="宋体"/>
          <w:b/>
          <w:bCs w:val="0"/>
          <w:sz w:val="24"/>
          <w:szCs w:val="24"/>
        </w:rPr>
      </w:pPr>
      <w:r>
        <w:rPr>
          <w:rFonts w:hint="eastAsia" w:ascii="宋体" w:hAnsi="宋体" w:eastAsia="宋体" w:cs="宋体"/>
          <w:b/>
          <w:bCs w:val="0"/>
          <w:sz w:val="24"/>
          <w:szCs w:val="24"/>
        </w:rPr>
        <w:t>（一）经济可行性分析报告</w:t>
      </w:r>
    </w:p>
    <w:p>
      <w:pPr>
        <w:spacing w:beforeLines="0" w:afterLines="0"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《可行性研究报告书》：深一统（研）字[2022]第FHGYY-05059号——在评估时点2021年11月15日，深圳市新南股份合作公司及七个自然村股份公司分配物业价值应不低于3,975,919,747元。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本项目由合作方按照深圳市龙岗区政府规定程序取得城市更新项目的实施主体资格，并通过与招商方及7个自然村股份公司签订合作开发协议、与政府部门签订土地使用权出让合同的方式运作。</w:t>
      </w:r>
    </w:p>
    <w:p>
      <w:pPr>
        <w:spacing w:beforeLines="0" w:afterLines="0" w:line="240" w:lineRule="auto"/>
        <w:ind w:firstLine="480" w:firstLineChars="200"/>
        <w:rPr>
          <w:rFonts w:hint="eastAsia" w:ascii="宋体" w:hAnsi="宋体" w:eastAsia="宋体" w:cs="宋体"/>
          <w:sz w:val="24"/>
          <w:szCs w:val="24"/>
        </w:rPr>
      </w:pPr>
      <w:bookmarkStart w:id="173" w:name="_Hlk29449208"/>
      <w:bookmarkStart w:id="174" w:name="_Hlk29447371"/>
      <w:r>
        <w:rPr>
          <w:rFonts w:hint="eastAsia" w:ascii="宋体" w:hAnsi="宋体" w:eastAsia="宋体" w:cs="宋体"/>
          <w:sz w:val="24"/>
          <w:szCs w:val="24"/>
        </w:rPr>
        <w:t>本项目涉及集体土地面积106,719.48平方米，集体土地上预计总投资为5,252,738,567元，可改善该片区环境及完善相应的公共配套设施，同时改善区域的商住及配套商务服务设施现状，可显著提高城市整体形象，实现土地资源的节约集约利用，促进经济和社会的可持续发展。项目涉及的市场、运营等方面的风险都在可控范围内。</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综上，本项目按照设定规划容积率进行合作开发的情况下，社会效益显著，经济效益较好，整体风险可控，具备可行性。</w:t>
      </w:r>
    </w:p>
    <w:bookmarkEnd w:id="173"/>
    <w:bookmarkEnd w:id="174"/>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本项目开发建成物业的评估单价如下：</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住宅物业评估单价为40000元/㎡。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办公物业评估单价为28000元/㎡。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01地块商业为双首层设计，共三层商业：</w:t>
      </w:r>
      <w:bookmarkStart w:id="175" w:name="_Hlk24210488"/>
      <w:r>
        <w:rPr>
          <w:rFonts w:hint="eastAsia" w:ascii="宋体" w:hAnsi="宋体" w:eastAsia="宋体" w:cs="宋体"/>
          <w:sz w:val="24"/>
          <w:szCs w:val="24"/>
        </w:rPr>
        <w:t>首层商业（临凤凰大道）评估单价为58000元/㎡，首层商业（临规划一路）评估单价为58000元/㎡</w:t>
      </w:r>
      <w:bookmarkEnd w:id="175"/>
      <w:r>
        <w:rPr>
          <w:rFonts w:hint="eastAsia" w:ascii="宋体" w:hAnsi="宋体" w:eastAsia="宋体" w:cs="宋体"/>
          <w:sz w:val="24"/>
          <w:szCs w:val="24"/>
        </w:rPr>
        <w:t>，第二层商业评估单价为43500元/㎡。</w:t>
      </w:r>
    </w:p>
    <w:p>
      <w:pPr>
        <w:spacing w:beforeLines="0" w:afterLines="0" w:line="240" w:lineRule="auto"/>
        <w:ind w:firstLine="0" w:firstLineChars="0"/>
        <w:rPr>
          <w:rFonts w:hint="eastAsia" w:ascii="宋体" w:hAnsi="宋体" w:eastAsia="宋体" w:cs="宋体"/>
          <w:b/>
          <w:bCs w:val="0"/>
          <w:sz w:val="24"/>
          <w:szCs w:val="24"/>
        </w:rPr>
      </w:pPr>
      <w:r>
        <w:rPr>
          <w:rFonts w:hint="eastAsia" w:ascii="宋体" w:hAnsi="宋体" w:eastAsia="宋体" w:cs="宋体"/>
          <w:b/>
          <w:bCs w:val="0"/>
          <w:sz w:val="24"/>
          <w:szCs w:val="24"/>
        </w:rPr>
        <w:t xml:space="preserve">（二）涉及招商方及7个自然村股份公司的集体资产评估报告 </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本项目更新范围内涉及股份公司集体土地面积为106,719.48 平方米（含以租代卖土地面积4,993平方米），涉及股份公司现状永久性建筑面积83,083.60平方米及临时建筑物及构筑物及附着物计水平投影面积为21,689.78㎡，涉及招商方非农建设用地指标79,538.40平方米。经深圳市一统土地房地产评估工程咨询勘测有限公司对本项目集体物业现状价值、非农建设用地指标价值、集体土地价值进行评估及经济分析，并出具了以下评估报告：</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（1）《土地估价报告》：深一统(2022)(估)字第FHGYY-05058号——在评估时点2021年11月15日，深圳市新南股份合作公司所拥有的土地面积106,719.48 平方米（其中集体土地面积101,726.48平方米；以租代卖土地面积4,993平方米），土地在城市更新设定条件下的总价值为2,696,689,676元；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房地产估价报告》：深一统评字（2022）第FHGYY-05050号——在评估时点2021年11月15日，深圳市新南股份合作公司的现状房地产总价值为348,884,871元；深一统评字（2022）第FHGYY-05053号——在评估时点2021年11月15日，深圳市前进股份合作公司的现状房地产总价值为10,228,689元；深一统评字（2022）第FHGYY-05055号——在评估时点2021年11月15日，深圳市伍屋围氹元股份合作公司的现状房地产总价值为6,392,931元；深一统评字（2022）第FHGYY-05056号——在评估时点2021年11月15日，深圳市伍屋围九巷股份合作公司的现状房地产总价值为6,392,931元；深一统评字（2022）第FHGYY-05057号——在评估时点2021年11月15日，深圳市元屋围股份合作公司的现状房地产总价值为3,835,758元；深一统评字（2022）第FHGYY-05054号——在评估时点2021年11月15日，深圳市伍屋围北门坳股份合作公司的现状房地产总价值为3,196,937元；深一统评字（2022）第FHGYY-05052号——在评估时点2021年11月15日，深圳市龙岗旧圩股份合作公司的现状房地产总价值为2,557,172元；深一统评字（2022）第FHGYY-05051号——在评估时点2021年11月15日，深圳市力元吓股份合作公司的现状房地产总价值为49,328,318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（3）《非农建设用地指标估价报告》：深一统评字（2021）第FHGYY-05049号——在评估时点2021年11月15日，招商方所拥有的79,538.40平方米非农建设用地指标在城市更新项目中的价值为437,461,200元。</w:t>
      </w:r>
    </w:p>
    <w:p>
      <w:pPr>
        <w:spacing w:beforeLines="0" w:afterLines="0" w:line="240" w:lineRule="auto"/>
        <w:ind w:firstLine="0" w:firstLineChars="0"/>
        <w:rPr>
          <w:rFonts w:hint="eastAsia" w:ascii="宋体" w:hAnsi="宋体" w:eastAsia="宋体" w:cs="宋体"/>
          <w:b/>
          <w:sz w:val="24"/>
          <w:szCs w:val="24"/>
        </w:rPr>
      </w:pPr>
      <w:r>
        <w:rPr>
          <w:rFonts w:hint="eastAsia" w:ascii="宋体" w:hAnsi="宋体" w:eastAsia="宋体" w:cs="宋体"/>
          <w:b/>
          <w:sz w:val="24"/>
          <w:szCs w:val="24"/>
        </w:rPr>
        <w:t>（三）</w:t>
      </w:r>
      <w:r>
        <w:rPr>
          <w:rFonts w:hint="eastAsia" w:ascii="宋体" w:hAnsi="宋体" w:eastAsia="宋体" w:cs="宋体"/>
          <w:b/>
          <w:bCs w:val="0"/>
          <w:sz w:val="24"/>
          <w:szCs w:val="24"/>
        </w:rPr>
        <w:t>涉及招商方及7个自然村股份公司的集体资产复核意见书</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（1）《复核意见书》：深世鹏咨字第CQ20220617039号——对应估价期日2021年11月15日，招商方及7个自然村股份公司在本项目涉及的集体物业各项评估结果在合理区间内，各项评估报告合格。</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深圳市一统土地房地产评估工程咨询勘测有限公司出具的《深圳市龙岗区平湖街道凤凰工业园城市更新项目采用非农指标对补缴地价的影响说明》，项目涉及的79,538.40平方米非农建设用地中61,188.98平方米的非农建设用地指标节省地价款已经包含在土地价值中，剩余18,349.42平方米非农建设用地指标节省地价金额为43,524,824元。深圳市世鹏资产评估地产土地估价顾问有限公司出具的《关于深圳市龙岗区平湖街道凤凰工业园城市更新项目采用非农指标对补缴地价的影响说明复核意见》明确项目招商底价4,445,459,500元（见本方案第五条），高于集体评估值3,975,919,747元，增值469,539,753元，增值部分高于非农建设用地指标节省的地价款43,524,824元。</w:t>
      </w:r>
    </w:p>
    <w:p>
      <w:pPr>
        <w:spacing w:line="560" w:lineRule="exact"/>
        <w:rPr>
          <w:rFonts w:hint="eastAsia" w:ascii="宋体" w:hAnsi="宋体" w:eastAsia="宋体" w:cs="宋体"/>
          <w:b/>
          <w:bCs w:val="0"/>
          <w:sz w:val="24"/>
          <w:szCs w:val="24"/>
        </w:rPr>
      </w:pPr>
      <w:r>
        <w:rPr>
          <w:rFonts w:hint="eastAsia" w:ascii="宋体" w:hAnsi="宋体" w:eastAsia="宋体" w:cs="宋体"/>
          <w:b/>
          <w:bCs w:val="0"/>
          <w:sz w:val="24"/>
          <w:szCs w:val="24"/>
        </w:rPr>
        <w:t>四、合作方式</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1、合作开发，通过深圳交易集团有限公司龙岗分公司按照“公平、公正、竞争、择优”的原则公开招商选择合作方。</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招商方及7个自然村股份公司提供集体土地面积106,719.48㎡、非农建设用地指标79,538.4㎡、地上永久性建筑物的建筑面积83,083.60㎡、临时建筑物及构筑物及附着物计水平投影面积21,689.78㎡进行合作开发建设，获取相应的合作补偿及利益回报（含回迁物业和货币补偿），项目改造开发建设过程中，不承担出资义务，不参与具体开发管理等事务。</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合作方负责从项目搬迁谈判和补偿、实施主体确认、土地使用权出让、项目设计、项目报建手续办理，项目施工建设、竣工验收、项目销售、物业管理、办理不动产权证等项目开发建设经营整个过程的全部工作，招商方及7个自然村股份公司予以协助。</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合作方负责项目开发建设全部资金投入，包括搬迁补偿费用、补缴地价、建安工程费用、专业费用、管理费用、不可预见费用、财务费用、销售费用、按照相关法律法规应由建设单位缴纳的首笔物业专项维修资金等。</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5、合作方应确保项目规划设计符合相关规范，建设质量符合国家标准。</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合作方作为本项目改造实施主体，负责本项目更新范围内包括招商方及7个自然村股份公司集体资产在内的土地、物业涉及的拆迁补偿工作，以及对本项目范围内除招商方及7个自然村股份合作公司的集体资产以外的其他权利主体物业的拆迁补偿工作，并承担相应费用。除招商方及7个自然村股份公司应取得的合作补偿及其他权利人物业涉及的拆迁补偿权益外，本项目的其他权益均归属于合作方所有。</w:t>
      </w:r>
    </w:p>
    <w:p>
      <w:pPr>
        <w:spacing w:beforeLines="0" w:afterLines="0" w:line="240" w:lineRule="auto"/>
        <w:rPr>
          <w:rFonts w:hint="eastAsia" w:ascii="宋体" w:hAnsi="宋体" w:eastAsia="宋体" w:cs="宋体"/>
          <w:b/>
          <w:bCs/>
          <w:sz w:val="24"/>
          <w:szCs w:val="24"/>
        </w:rPr>
      </w:pPr>
    </w:p>
    <w:p>
      <w:pPr>
        <w:spacing w:line="560" w:lineRule="exact"/>
        <w:rPr>
          <w:rFonts w:hint="eastAsia" w:ascii="宋体" w:hAnsi="宋体" w:eastAsia="宋体" w:cs="宋体"/>
          <w:b/>
          <w:bCs w:val="0"/>
          <w:sz w:val="24"/>
          <w:szCs w:val="24"/>
        </w:rPr>
      </w:pPr>
      <w:r>
        <w:rPr>
          <w:rFonts w:hint="eastAsia" w:ascii="宋体" w:hAnsi="宋体" w:eastAsia="宋体" w:cs="宋体"/>
          <w:b/>
          <w:bCs w:val="0"/>
          <w:sz w:val="24"/>
          <w:szCs w:val="24"/>
        </w:rPr>
        <w:t>五、利益分配方式与合作招商底价</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利益分配方式按照“回迁物业+货币补偿”组合方式。招商底价由回迁物业（含住宅装修）和货币补偿两部分组成，两者价值之和不得低于人民币4,445,459,500元，即回迁物业（含住宅装修）和货币补偿二项需同时满足，招商方及7个自然村股份公司利益分配详见附表（以下简称“《利益分配表》”），建筑面积单位为“㎡”，货币单位为人民币“元”），实现集体资产的保值增值，实现集体经济强劲地持续发展。</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（1）回迁物业（含住宅装修）：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①回迁面积：招商方及7个自然村股份公司回迁物业总建筑面积不低于106000㎡，其中：回迁01地块商业建筑面积不低于18000㎡，回迁01地块办公建筑面积不低于21440㎡，回迁住宅建筑面积不低于66560㎡（其中回迁住宅优先在01地块安排，不足部分回迁在03地块）。</w:t>
      </w:r>
    </w:p>
    <w:p>
      <w:pPr>
        <w:spacing w:beforeLines="0" w:afterLines="0" w:line="240" w:lineRule="auto"/>
        <w:ind w:firstLine="480" w:firstLineChars="200"/>
        <w:rPr>
          <w:rFonts w:hint="eastAsia" w:ascii="宋体" w:hAnsi="宋体" w:eastAsia="宋体" w:cs="宋体"/>
          <w:sz w:val="24"/>
          <w:szCs w:val="24"/>
        </w:rPr>
      </w:pPr>
      <w:bookmarkStart w:id="176" w:name="_Hlk29450932"/>
      <w:r>
        <w:rPr>
          <w:rFonts w:hint="eastAsia" w:ascii="宋体" w:hAnsi="宋体" w:eastAsia="宋体" w:cs="宋体"/>
          <w:sz w:val="24"/>
          <w:szCs w:val="24"/>
        </w:rPr>
        <w:t>②住宅装修：招商方回迁的住宅建筑面积66560㎡毛坯交付后，由合作方再按照建筑面积2000元/㎡的装修市场价值进行装修，装修价值合计人民币133,120,000元，具体的装修标准及方案须提前征求招商方意见并取得招商方确认。住宅装修价值作为招商条件，合作方必须无条件响应且不可偏离。</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招商方及7个自然村股份公司货币补偿总金额不低于人民币8457.2万元，货币补偿金额包括招商方及7个自然村股份公司的地上建筑物、临时建筑、构筑物、附着物、现状装修、搬迁、设施设备、停产停业损失等所有补偿，不包括招商方及7个自然村股份公司的集体现状物业的搬迁过渡期补偿费用。利益分配表如下：</w:t>
      </w:r>
    </w:p>
    <w:p>
      <w:pPr>
        <w:spacing w:line="480" w:lineRule="exact"/>
        <w:ind w:firstLine="360" w:firstLineChars="150"/>
        <w:rPr>
          <w:rFonts w:hint="eastAsia" w:ascii="宋体" w:hAnsi="宋体" w:eastAsia="宋体" w:cs="宋体"/>
          <w:sz w:val="24"/>
          <w:szCs w:val="24"/>
        </w:rPr>
      </w:pPr>
    </w:p>
    <w:bookmarkEnd w:id="176"/>
    <w:tbl>
      <w:tblPr>
        <w:tblStyle w:val="12"/>
        <w:tblW w:w="0" w:type="auto"/>
        <w:jc w:val="center"/>
        <w:tblLayout w:type="fixed"/>
        <w:tblCellMar>
          <w:top w:w="0" w:type="dxa"/>
          <w:left w:w="108" w:type="dxa"/>
          <w:bottom w:w="0" w:type="dxa"/>
          <w:right w:w="108" w:type="dxa"/>
        </w:tblCellMar>
      </w:tblPr>
      <w:tblGrid>
        <w:gridCol w:w="1689"/>
        <w:gridCol w:w="1079"/>
        <w:gridCol w:w="179"/>
        <w:gridCol w:w="900"/>
        <w:gridCol w:w="979"/>
        <w:gridCol w:w="992"/>
        <w:gridCol w:w="851"/>
        <w:gridCol w:w="850"/>
        <w:gridCol w:w="851"/>
        <w:gridCol w:w="947"/>
        <w:gridCol w:w="1037"/>
      </w:tblGrid>
      <w:tr>
        <w:tblPrEx>
          <w:tblCellMar>
            <w:top w:w="0" w:type="dxa"/>
            <w:left w:w="108" w:type="dxa"/>
            <w:bottom w:w="0" w:type="dxa"/>
            <w:right w:w="108" w:type="dxa"/>
          </w:tblCellMar>
        </w:tblPrEx>
        <w:trPr>
          <w:trHeight w:val="314" w:hRule="atLeast"/>
          <w:jc w:val="center"/>
        </w:trPr>
        <w:tc>
          <w:tcPr>
            <w:tcW w:w="1689" w:type="dxa"/>
            <w:vMerge w:val="restart"/>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股份公司名称</w:t>
            </w:r>
          </w:p>
        </w:tc>
        <w:tc>
          <w:tcPr>
            <w:tcW w:w="1258" w:type="dxa"/>
            <w:gridSpan w:val="2"/>
            <w:tcBorders>
              <w:top w:val="single" w:color="auto" w:sz="4" w:space="0"/>
              <w:left w:val="nil"/>
              <w:bottom w:val="single" w:color="auto" w:sz="4" w:space="0"/>
              <w:right w:val="nil"/>
            </w:tcBorders>
            <w:shd w:val="clear" w:color="000000" w:fill="D9D9D9"/>
            <w:noWrap w:val="0"/>
            <w:vAlign w:val="top"/>
          </w:tcPr>
          <w:p>
            <w:pPr>
              <w:widowControl/>
              <w:spacing w:line="360" w:lineRule="exact"/>
              <w:jc w:val="center"/>
              <w:rPr>
                <w:rFonts w:hint="eastAsia" w:ascii="宋体" w:hAnsi="宋体" w:eastAsia="宋体" w:cs="宋体"/>
                <w:b/>
                <w:bCs/>
                <w:kern w:val="0"/>
                <w:sz w:val="24"/>
                <w:szCs w:val="24"/>
              </w:rPr>
            </w:pPr>
          </w:p>
        </w:tc>
        <w:tc>
          <w:tcPr>
            <w:tcW w:w="7407" w:type="dxa"/>
            <w:gridSpan w:val="8"/>
            <w:tcBorders>
              <w:top w:val="single" w:color="auto" w:sz="4" w:space="0"/>
              <w:left w:val="nil"/>
              <w:bottom w:val="single" w:color="auto" w:sz="4" w:space="0"/>
              <w:right w:val="single" w:color="auto" w:sz="4" w:space="0"/>
            </w:tcBorders>
            <w:shd w:val="clear" w:color="000000" w:fill="D9D9D9"/>
            <w:noWrap w:val="0"/>
            <w:vAlign w:val="center"/>
          </w:tcPr>
          <w:p>
            <w:pPr>
              <w:widowControl/>
              <w:spacing w:line="360" w:lineRule="exact"/>
              <w:ind w:firstLine="1687" w:firstLineChars="700"/>
              <w:jc w:val="both"/>
              <w:rPr>
                <w:rFonts w:hint="eastAsia" w:ascii="宋体" w:hAnsi="宋体" w:eastAsia="宋体" w:cs="宋体"/>
                <w:b/>
                <w:bCs/>
                <w:kern w:val="0"/>
                <w:sz w:val="24"/>
                <w:szCs w:val="24"/>
              </w:rPr>
            </w:pPr>
            <w:r>
              <w:rPr>
                <w:rFonts w:hint="eastAsia" w:ascii="宋体" w:hAnsi="宋体" w:eastAsia="宋体" w:cs="宋体"/>
                <w:b/>
                <w:bCs/>
                <w:kern w:val="0"/>
                <w:sz w:val="24"/>
                <w:szCs w:val="24"/>
              </w:rPr>
              <w:t>利益分配表</w:t>
            </w:r>
          </w:p>
        </w:tc>
      </w:tr>
      <w:tr>
        <w:tblPrEx>
          <w:tblCellMar>
            <w:top w:w="0" w:type="dxa"/>
            <w:left w:w="108" w:type="dxa"/>
            <w:bottom w:w="0" w:type="dxa"/>
            <w:right w:w="108" w:type="dxa"/>
          </w:tblCellMar>
        </w:tblPrEx>
        <w:trPr>
          <w:trHeight w:val="415" w:hRule="atLeast"/>
          <w:jc w:val="center"/>
        </w:trPr>
        <w:tc>
          <w:tcPr>
            <w:tcW w:w="168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hint="eastAsia" w:ascii="宋体" w:hAnsi="宋体" w:eastAsia="宋体" w:cs="宋体"/>
                <w:b/>
                <w:bCs/>
                <w:kern w:val="0"/>
                <w:sz w:val="24"/>
                <w:szCs w:val="24"/>
              </w:rPr>
            </w:pPr>
          </w:p>
        </w:tc>
        <w:tc>
          <w:tcPr>
            <w:tcW w:w="4129" w:type="dxa"/>
            <w:gridSpan w:val="5"/>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回迁01地块商业建筑面积（ ㎡） </w:t>
            </w:r>
          </w:p>
        </w:tc>
        <w:tc>
          <w:tcPr>
            <w:tcW w:w="851" w:type="dxa"/>
            <w:vMerge w:val="restart"/>
            <w:tcBorders>
              <w:top w:val="nil"/>
              <w:left w:val="single" w:color="auto" w:sz="4" w:space="0"/>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回迁办公建筑面积（ ㎡） </w:t>
            </w:r>
          </w:p>
        </w:tc>
        <w:tc>
          <w:tcPr>
            <w:tcW w:w="850" w:type="dxa"/>
            <w:vMerge w:val="restart"/>
            <w:tcBorders>
              <w:top w:val="nil"/>
              <w:left w:val="single" w:color="auto" w:sz="4" w:space="0"/>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回迁住宅建筑面积（ ㎡）</w:t>
            </w:r>
          </w:p>
        </w:tc>
        <w:tc>
          <w:tcPr>
            <w:tcW w:w="851" w:type="dxa"/>
            <w:vMerge w:val="restart"/>
            <w:tcBorders>
              <w:top w:val="nil"/>
              <w:left w:val="single" w:color="auto" w:sz="4" w:space="0"/>
              <w:bottom w:val="single" w:color="000000"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补偿住宅装修价值（万元）</w:t>
            </w:r>
          </w:p>
        </w:tc>
        <w:tc>
          <w:tcPr>
            <w:tcW w:w="947" w:type="dxa"/>
            <w:vMerge w:val="restart"/>
            <w:tcBorders>
              <w:top w:val="nil"/>
              <w:left w:val="single" w:color="auto" w:sz="4" w:space="0"/>
              <w:bottom w:val="nil"/>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货币补偿（万元）</w:t>
            </w:r>
          </w:p>
        </w:tc>
        <w:tc>
          <w:tcPr>
            <w:tcW w:w="1037" w:type="dxa"/>
            <w:vMerge w:val="restart"/>
            <w:tcBorders>
              <w:top w:val="nil"/>
              <w:left w:val="single" w:color="auto" w:sz="4" w:space="0"/>
              <w:bottom w:val="single" w:color="000000"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 合作补偿总价值（万元）</w:t>
            </w:r>
          </w:p>
        </w:tc>
      </w:tr>
      <w:tr>
        <w:tblPrEx>
          <w:tblCellMar>
            <w:top w:w="0" w:type="dxa"/>
            <w:left w:w="108" w:type="dxa"/>
            <w:bottom w:w="0" w:type="dxa"/>
            <w:right w:w="108" w:type="dxa"/>
          </w:tblCellMar>
        </w:tblPrEx>
        <w:trPr>
          <w:trHeight w:val="814" w:hRule="atLeast"/>
          <w:jc w:val="center"/>
        </w:trPr>
        <w:tc>
          <w:tcPr>
            <w:tcW w:w="1689"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60" w:lineRule="exact"/>
              <w:jc w:val="left"/>
              <w:rPr>
                <w:rFonts w:hint="eastAsia" w:ascii="宋体" w:hAnsi="宋体" w:eastAsia="宋体" w:cs="宋体"/>
                <w:b/>
                <w:bCs/>
                <w:kern w:val="0"/>
                <w:sz w:val="24"/>
                <w:szCs w:val="24"/>
              </w:rPr>
            </w:pPr>
          </w:p>
        </w:tc>
        <w:tc>
          <w:tcPr>
            <w:tcW w:w="1079" w:type="dxa"/>
            <w:tcBorders>
              <w:top w:val="nil"/>
              <w:left w:val="nil"/>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首层（临凤凰大道）</w:t>
            </w:r>
          </w:p>
        </w:tc>
        <w:tc>
          <w:tcPr>
            <w:tcW w:w="1079" w:type="dxa"/>
            <w:gridSpan w:val="2"/>
            <w:tcBorders>
              <w:top w:val="nil"/>
              <w:left w:val="nil"/>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首层（临规划一路）</w:t>
            </w:r>
          </w:p>
        </w:tc>
        <w:tc>
          <w:tcPr>
            <w:tcW w:w="979" w:type="dxa"/>
            <w:tcBorders>
              <w:top w:val="nil"/>
              <w:left w:val="nil"/>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第二层</w:t>
            </w:r>
          </w:p>
        </w:tc>
        <w:tc>
          <w:tcPr>
            <w:tcW w:w="992" w:type="dxa"/>
            <w:tcBorders>
              <w:top w:val="nil"/>
              <w:left w:val="nil"/>
              <w:bottom w:val="single" w:color="auto" w:sz="4" w:space="0"/>
              <w:right w:val="single" w:color="auto" w:sz="4" w:space="0"/>
            </w:tcBorders>
            <w:shd w:val="clear" w:color="000000" w:fill="D9D9D9"/>
            <w:noWrap w:val="0"/>
            <w:vAlign w:val="center"/>
          </w:tcPr>
          <w:p>
            <w:pPr>
              <w:widowControl/>
              <w:spacing w:line="36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合计 </w:t>
            </w:r>
          </w:p>
        </w:tc>
        <w:tc>
          <w:tcPr>
            <w:tcW w:w="851"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4"/>
                <w:szCs w:val="24"/>
              </w:rPr>
            </w:pPr>
          </w:p>
        </w:tc>
        <w:tc>
          <w:tcPr>
            <w:tcW w:w="850" w:type="dxa"/>
            <w:vMerge w:val="continue"/>
            <w:tcBorders>
              <w:top w:val="nil"/>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4"/>
                <w:szCs w:val="24"/>
              </w:rPr>
            </w:pPr>
          </w:p>
        </w:tc>
        <w:tc>
          <w:tcPr>
            <w:tcW w:w="851"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4"/>
                <w:szCs w:val="24"/>
              </w:rPr>
            </w:pPr>
          </w:p>
        </w:tc>
        <w:tc>
          <w:tcPr>
            <w:tcW w:w="947" w:type="dxa"/>
            <w:vMerge w:val="continue"/>
            <w:tcBorders>
              <w:left w:val="single" w:color="auto" w:sz="4" w:space="0"/>
              <w:bottom w:val="single" w:color="auto" w:sz="4" w:space="0"/>
              <w:right w:val="single" w:color="auto" w:sz="4" w:space="0"/>
            </w:tcBorders>
            <w:noWrap w:val="0"/>
            <w:vAlign w:val="top"/>
          </w:tcPr>
          <w:p>
            <w:pPr>
              <w:widowControl/>
              <w:spacing w:line="360" w:lineRule="exact"/>
              <w:jc w:val="left"/>
              <w:rPr>
                <w:rFonts w:hint="eastAsia" w:ascii="宋体" w:hAnsi="宋体" w:eastAsia="宋体" w:cs="宋体"/>
                <w:b/>
                <w:bCs/>
                <w:kern w:val="0"/>
                <w:sz w:val="24"/>
                <w:szCs w:val="24"/>
              </w:rPr>
            </w:pPr>
          </w:p>
        </w:tc>
        <w:tc>
          <w:tcPr>
            <w:tcW w:w="1037"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hint="eastAsia" w:ascii="宋体" w:hAnsi="宋体" w:eastAsia="宋体" w:cs="宋体"/>
                <w:b/>
                <w:bCs/>
                <w:kern w:val="0"/>
                <w:sz w:val="24"/>
                <w:szCs w:val="24"/>
              </w:rPr>
            </w:pPr>
          </w:p>
        </w:tc>
      </w:tr>
      <w:tr>
        <w:tblPrEx>
          <w:tblCellMar>
            <w:top w:w="0" w:type="dxa"/>
            <w:left w:w="108" w:type="dxa"/>
            <w:bottom w:w="0" w:type="dxa"/>
            <w:right w:w="108" w:type="dxa"/>
          </w:tblCellMar>
        </w:tblPrEx>
        <w:trPr>
          <w:trHeight w:val="619" w:hRule="atLeast"/>
          <w:jc w:val="center"/>
        </w:trPr>
        <w:tc>
          <w:tcPr>
            <w:tcW w:w="1689" w:type="dxa"/>
            <w:tcBorders>
              <w:top w:val="nil"/>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深圳市新南股份合作公司</w:t>
            </w:r>
          </w:p>
        </w:tc>
        <w:tc>
          <w:tcPr>
            <w:tcW w:w="1079" w:type="dxa"/>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3295.37 </w:t>
            </w:r>
          </w:p>
        </w:tc>
        <w:tc>
          <w:tcPr>
            <w:tcW w:w="1079" w:type="dxa"/>
            <w:gridSpan w:val="2"/>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2140.37</w:t>
            </w:r>
          </w:p>
        </w:tc>
        <w:tc>
          <w:tcPr>
            <w:tcW w:w="979" w:type="dxa"/>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1885.37</w:t>
            </w:r>
          </w:p>
        </w:tc>
        <w:tc>
          <w:tcPr>
            <w:tcW w:w="992" w:type="dxa"/>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7321.11 </w:t>
            </w:r>
          </w:p>
        </w:tc>
        <w:tc>
          <w:tcPr>
            <w:tcW w:w="851" w:type="dxa"/>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21440</w:t>
            </w:r>
          </w:p>
        </w:tc>
        <w:tc>
          <w:tcPr>
            <w:tcW w:w="850" w:type="dxa"/>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66560</w:t>
            </w:r>
          </w:p>
        </w:tc>
        <w:tc>
          <w:tcPr>
            <w:tcW w:w="851" w:type="dxa"/>
            <w:tcBorders>
              <w:top w:val="nil"/>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13312</w:t>
            </w:r>
          </w:p>
        </w:tc>
        <w:tc>
          <w:tcPr>
            <w:tcW w:w="947"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7636.74 </w:t>
            </w:r>
          </w:p>
        </w:tc>
        <w:tc>
          <w:tcPr>
            <w:tcW w:w="1037" w:type="dxa"/>
            <w:tcBorders>
              <w:top w:val="nil"/>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386949.39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深圳市力元吓股份合作公司</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2252.74 </w:t>
            </w:r>
          </w:p>
        </w:tc>
        <w:tc>
          <w:tcPr>
            <w:tcW w:w="1079" w:type="dxa"/>
            <w:gridSpan w:val="2"/>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2252.74 </w:t>
            </w:r>
          </w:p>
        </w:tc>
        <w:tc>
          <w:tcPr>
            <w:tcW w:w="9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2252.74 </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6758.22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947"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565.61</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36496.81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深圳市前进股份合作公司</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410.00 </w:t>
            </w:r>
          </w:p>
        </w:tc>
        <w:tc>
          <w:tcPr>
            <w:tcW w:w="1079" w:type="dxa"/>
            <w:gridSpan w:val="2"/>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410.00 </w:t>
            </w:r>
          </w:p>
        </w:tc>
        <w:tc>
          <w:tcPr>
            <w:tcW w:w="9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410.00 </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1230 .00</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947"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79.95</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6619.45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深圳市伍屋围氹元股份合作公司</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256.25 </w:t>
            </w:r>
          </w:p>
        </w:tc>
        <w:tc>
          <w:tcPr>
            <w:tcW w:w="1079" w:type="dxa"/>
            <w:gridSpan w:val="2"/>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256.25 </w:t>
            </w:r>
          </w:p>
        </w:tc>
        <w:tc>
          <w:tcPr>
            <w:tcW w:w="9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256.25 </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768.75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947"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49.97</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4137.16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深圳市伍屋围九巷股份合作公司</w:t>
            </w:r>
          </w:p>
        </w:tc>
        <w:tc>
          <w:tcPr>
            <w:tcW w:w="10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256.25 </w:t>
            </w:r>
          </w:p>
        </w:tc>
        <w:tc>
          <w:tcPr>
            <w:tcW w:w="1079"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256.25 </w:t>
            </w:r>
          </w:p>
        </w:tc>
        <w:tc>
          <w:tcPr>
            <w:tcW w:w="97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256.25 </w:t>
            </w:r>
          </w:p>
        </w:tc>
        <w:tc>
          <w:tcPr>
            <w:tcW w:w="992"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768.75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94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49.97</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4137.16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深圳市元屋围股份合作公司</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153.75 </w:t>
            </w:r>
          </w:p>
        </w:tc>
        <w:tc>
          <w:tcPr>
            <w:tcW w:w="1079" w:type="dxa"/>
            <w:gridSpan w:val="2"/>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153.75 </w:t>
            </w:r>
          </w:p>
        </w:tc>
        <w:tc>
          <w:tcPr>
            <w:tcW w:w="9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153.75 </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461.25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947"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29.98</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2482.29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深圳市伍屋围北门坳股份合作公司</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128.14 </w:t>
            </w:r>
          </w:p>
        </w:tc>
        <w:tc>
          <w:tcPr>
            <w:tcW w:w="1079" w:type="dxa"/>
            <w:gridSpan w:val="2"/>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128.14 </w:t>
            </w:r>
          </w:p>
        </w:tc>
        <w:tc>
          <w:tcPr>
            <w:tcW w:w="9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128.14 </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384.42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947"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24.99</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2068.82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深圳市龙岗旧圩股份合作公司</w:t>
            </w:r>
          </w:p>
        </w:tc>
        <w:tc>
          <w:tcPr>
            <w:tcW w:w="10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102.50 </w:t>
            </w:r>
          </w:p>
        </w:tc>
        <w:tc>
          <w:tcPr>
            <w:tcW w:w="1079" w:type="dxa"/>
            <w:gridSpan w:val="2"/>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102.50 </w:t>
            </w:r>
          </w:p>
        </w:tc>
        <w:tc>
          <w:tcPr>
            <w:tcW w:w="979"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102.50 </w:t>
            </w:r>
          </w:p>
        </w:tc>
        <w:tc>
          <w:tcPr>
            <w:tcW w:w="992"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307.5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0"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851"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w:t>
            </w:r>
          </w:p>
        </w:tc>
        <w:tc>
          <w:tcPr>
            <w:tcW w:w="947" w:type="dxa"/>
            <w:tcBorders>
              <w:top w:val="single" w:color="auto" w:sz="4" w:space="0"/>
              <w:left w:val="nil"/>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19.99</w:t>
            </w:r>
          </w:p>
        </w:tc>
        <w:tc>
          <w:tcPr>
            <w:tcW w:w="103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1654.87 </w:t>
            </w:r>
          </w:p>
        </w:tc>
      </w:tr>
      <w:tr>
        <w:tblPrEx>
          <w:tblCellMar>
            <w:top w:w="0" w:type="dxa"/>
            <w:left w:w="108" w:type="dxa"/>
            <w:bottom w:w="0" w:type="dxa"/>
            <w:right w:w="108" w:type="dxa"/>
          </w:tblCellMar>
        </w:tblPrEx>
        <w:trPr>
          <w:trHeight w:val="619" w:hRule="atLeast"/>
          <w:jc w:val="center"/>
        </w:trPr>
        <w:tc>
          <w:tcPr>
            <w:tcW w:w="1689" w:type="dxa"/>
            <w:tcBorders>
              <w:top w:val="single" w:color="auto" w:sz="4" w:space="0"/>
              <w:left w:val="single" w:color="auto" w:sz="4" w:space="0"/>
              <w:bottom w:val="single" w:color="auto" w:sz="4" w:space="0"/>
              <w:right w:val="single" w:color="auto" w:sz="4" w:space="0"/>
            </w:tcBorders>
            <w:shd w:val="clear" w:color="000000" w:fill="B1A0C7"/>
            <w:noWrap w:val="0"/>
            <w:vAlign w:val="center"/>
          </w:tcPr>
          <w:p>
            <w:pPr>
              <w:widowControl/>
              <w:spacing w:line="360" w:lineRule="exact"/>
              <w:jc w:val="center"/>
              <w:rPr>
                <w:rFonts w:hint="eastAsia" w:ascii="宋体" w:hAnsi="宋体" w:eastAsia="宋体" w:cs="宋体"/>
                <w:b w:val="0"/>
                <w:bCs w:val="0"/>
                <w:kern w:val="0"/>
                <w:sz w:val="24"/>
                <w:szCs w:val="24"/>
              </w:rPr>
            </w:pPr>
            <w:r>
              <w:rPr>
                <w:rFonts w:hint="eastAsia" w:ascii="宋体" w:hAnsi="宋体" w:eastAsia="宋体" w:cs="宋体"/>
                <w:b w:val="0"/>
                <w:bCs w:val="0"/>
                <w:kern w:val="0"/>
                <w:sz w:val="24"/>
                <w:szCs w:val="24"/>
              </w:rPr>
              <w:t>招商方及7个自然村股份公司合计</w:t>
            </w:r>
          </w:p>
        </w:tc>
        <w:tc>
          <w:tcPr>
            <w:tcW w:w="1079" w:type="dxa"/>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6855</w:t>
            </w:r>
          </w:p>
        </w:tc>
        <w:tc>
          <w:tcPr>
            <w:tcW w:w="1079" w:type="dxa"/>
            <w:gridSpan w:val="2"/>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5700</w:t>
            </w:r>
          </w:p>
        </w:tc>
        <w:tc>
          <w:tcPr>
            <w:tcW w:w="979" w:type="dxa"/>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5445</w:t>
            </w:r>
          </w:p>
        </w:tc>
        <w:tc>
          <w:tcPr>
            <w:tcW w:w="992" w:type="dxa"/>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18000</w:t>
            </w:r>
          </w:p>
        </w:tc>
        <w:tc>
          <w:tcPr>
            <w:tcW w:w="851" w:type="dxa"/>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21440</w:t>
            </w:r>
          </w:p>
        </w:tc>
        <w:tc>
          <w:tcPr>
            <w:tcW w:w="850" w:type="dxa"/>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66560</w:t>
            </w:r>
          </w:p>
        </w:tc>
        <w:tc>
          <w:tcPr>
            <w:tcW w:w="851" w:type="dxa"/>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13312</w:t>
            </w:r>
          </w:p>
        </w:tc>
        <w:tc>
          <w:tcPr>
            <w:tcW w:w="947" w:type="dxa"/>
            <w:tcBorders>
              <w:top w:val="single" w:color="auto" w:sz="4" w:space="0"/>
              <w:left w:val="nil"/>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8457.2</w:t>
            </w:r>
          </w:p>
        </w:tc>
        <w:tc>
          <w:tcPr>
            <w:tcW w:w="1037" w:type="dxa"/>
            <w:tcBorders>
              <w:top w:val="single" w:color="auto" w:sz="4" w:space="0"/>
              <w:left w:val="single" w:color="auto" w:sz="4" w:space="0"/>
              <w:bottom w:val="single" w:color="auto" w:sz="4" w:space="0"/>
              <w:right w:val="single" w:color="auto" w:sz="4" w:space="0"/>
            </w:tcBorders>
            <w:shd w:val="clear" w:color="000000" w:fill="B1A0C7"/>
            <w:noWrap w:val="0"/>
            <w:vAlign w:val="center"/>
          </w:tcPr>
          <w:p>
            <w:pPr>
              <w:spacing w:line="360" w:lineRule="exact"/>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444545.95 </w:t>
            </w:r>
          </w:p>
        </w:tc>
      </w:tr>
      <w:tr>
        <w:tblPrEx>
          <w:tblCellMar>
            <w:top w:w="0" w:type="dxa"/>
            <w:left w:w="108" w:type="dxa"/>
            <w:bottom w:w="0" w:type="dxa"/>
            <w:right w:w="108" w:type="dxa"/>
          </w:tblCellMar>
        </w:tblPrEx>
        <w:trPr>
          <w:trHeight w:val="627" w:hRule="atLeast"/>
          <w:jc w:val="center"/>
        </w:trPr>
        <w:tc>
          <w:tcPr>
            <w:tcW w:w="10354" w:type="dxa"/>
            <w:gridSpan w:val="11"/>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left"/>
              <w:rPr>
                <w:rFonts w:hint="eastAsia" w:ascii="宋体" w:hAnsi="宋体" w:eastAsia="宋体" w:cs="宋体"/>
                <w:b w:val="0"/>
                <w:bCs w:val="0"/>
                <w:sz w:val="24"/>
                <w:szCs w:val="24"/>
              </w:rPr>
            </w:pPr>
            <w:r>
              <w:rPr>
                <w:rFonts w:hint="eastAsia" w:ascii="宋体" w:hAnsi="宋体" w:eastAsia="宋体" w:cs="宋体"/>
                <w:b w:val="0"/>
                <w:bCs w:val="0"/>
                <w:kern w:val="0"/>
                <w:sz w:val="24"/>
                <w:szCs w:val="24"/>
              </w:rPr>
              <w:t>说明：回迁物业总建筑面积106000㎡，根据可行性研究报告回迁物业市场价值评估单价，回迁物业（含住宅装修）和货币补偿总价值不低于人民币</w:t>
            </w:r>
            <w:r>
              <w:rPr>
                <w:rFonts w:hint="eastAsia" w:ascii="宋体" w:hAnsi="宋体" w:eastAsia="宋体" w:cs="宋体"/>
                <w:b w:val="0"/>
                <w:bCs w:val="0"/>
                <w:sz w:val="24"/>
                <w:szCs w:val="24"/>
              </w:rPr>
              <w:t>444545.95</w:t>
            </w:r>
            <w:r>
              <w:rPr>
                <w:rFonts w:hint="eastAsia" w:ascii="宋体" w:hAnsi="宋体" w:eastAsia="宋体" w:cs="宋体"/>
                <w:b w:val="0"/>
                <w:bCs w:val="0"/>
                <w:kern w:val="0"/>
                <w:sz w:val="24"/>
                <w:szCs w:val="24"/>
              </w:rPr>
              <w:t>万元。</w:t>
            </w:r>
          </w:p>
        </w:tc>
      </w:tr>
    </w:tbl>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（4）在充分保障7个自然村股份公司上述表格载明的集体利益情况下，若招商谈判过程中最终成交结果超出招商底价，则溢价部分的权益（物业回迁、现金补偿）全部由招商方深圳市新南股份合作公司享有。</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招商方及7个自然村股份公司确认，本项目已取得专项规划批复，招商底价是依据本项目专项规划指标确定。若因专项规划调整导致可售建筑面积（包括回迁物业）减少的，招商方及7个自然村股份公司根据招商结果应分得的回迁物业不减少；若因专项规划调整导致可售建筑面积（包括回迁物业）增加的，则增加部分按照招商方及7个自然村股份公司根据招商结果应分得的物业总面积与可售总建筑面积（包括回迁物业）同比例分配给招商方及7个自然村股份公司。</w:t>
      </w:r>
    </w:p>
    <w:p>
      <w:pPr>
        <w:spacing w:beforeLines="0" w:afterLines="0"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6）合作方承诺，招商方及7个自然村股份公司全部回迁商业和回迁办公物业首次通过集体资产交易平台进行统一租赁招商时，合作方或合作方指定的第三方应参加竞标，且保证投标租金标准办公物业不低于人民币</w:t>
      </w:r>
      <w:r>
        <w:rPr>
          <w:rFonts w:hint="eastAsia" w:ascii="宋体" w:hAnsi="宋体" w:eastAsia="宋体" w:cs="宋体"/>
          <w:sz w:val="24"/>
          <w:szCs w:val="24"/>
          <w:u w:val="none"/>
        </w:rPr>
        <w:t>31</w:t>
      </w:r>
      <w:r>
        <w:rPr>
          <w:rFonts w:hint="eastAsia" w:ascii="宋体" w:hAnsi="宋体" w:eastAsia="宋体" w:cs="宋体"/>
          <w:sz w:val="24"/>
          <w:szCs w:val="24"/>
        </w:rPr>
        <w:t>元/平方米/月、首层商业（临凤凰大道）不低于人民币</w:t>
      </w:r>
      <w:r>
        <w:rPr>
          <w:rFonts w:hint="eastAsia" w:ascii="宋体" w:hAnsi="宋体" w:eastAsia="宋体" w:cs="宋体"/>
          <w:sz w:val="24"/>
          <w:szCs w:val="24"/>
          <w:u w:val="none"/>
        </w:rPr>
        <w:t xml:space="preserve"> 55</w:t>
      </w:r>
      <w:r>
        <w:rPr>
          <w:rFonts w:hint="eastAsia" w:ascii="宋体" w:hAnsi="宋体" w:eastAsia="宋体" w:cs="宋体"/>
          <w:sz w:val="24"/>
          <w:szCs w:val="24"/>
        </w:rPr>
        <w:t>元/平方米/月、首层商业（临规划一路）不低于人民币</w:t>
      </w:r>
      <w:r>
        <w:rPr>
          <w:rFonts w:hint="eastAsia" w:ascii="宋体" w:hAnsi="宋体" w:eastAsia="宋体" w:cs="宋体"/>
          <w:sz w:val="24"/>
          <w:szCs w:val="24"/>
          <w:u w:val="none"/>
        </w:rPr>
        <w:t xml:space="preserve"> 55</w:t>
      </w:r>
      <w:r>
        <w:rPr>
          <w:rFonts w:hint="eastAsia" w:ascii="宋体" w:hAnsi="宋体" w:eastAsia="宋体" w:cs="宋体"/>
          <w:sz w:val="24"/>
          <w:szCs w:val="24"/>
        </w:rPr>
        <w:t>元/平方米/月、第二层商业不低于人民币</w:t>
      </w:r>
      <w:r>
        <w:rPr>
          <w:rFonts w:hint="eastAsia" w:ascii="宋体" w:hAnsi="宋体" w:eastAsia="宋体" w:cs="宋体"/>
          <w:sz w:val="24"/>
          <w:szCs w:val="24"/>
          <w:u w:val="none"/>
        </w:rPr>
        <w:t xml:space="preserve"> 35 </w:t>
      </w:r>
      <w:r>
        <w:rPr>
          <w:rFonts w:hint="eastAsia" w:ascii="宋体" w:hAnsi="宋体" w:eastAsia="宋体" w:cs="宋体"/>
          <w:sz w:val="24"/>
          <w:szCs w:val="24"/>
        </w:rPr>
        <w:t>元/平方米/月，租赁期限不少于10年，租金标准分段递增，即第1-3年租金不变，满3年后（第4-6年）在上一年度（第3年）基础上递增</w:t>
      </w:r>
      <w:r>
        <w:rPr>
          <w:rFonts w:hint="eastAsia" w:ascii="宋体" w:hAnsi="宋体" w:eastAsia="宋体" w:cs="宋体"/>
          <w:bCs w:val="0"/>
          <w:sz w:val="24"/>
          <w:szCs w:val="24"/>
        </w:rPr>
        <w:t>5%</w:t>
      </w:r>
      <w:r>
        <w:rPr>
          <w:rFonts w:hint="eastAsia" w:ascii="宋体" w:hAnsi="宋体" w:eastAsia="宋体" w:cs="宋体"/>
          <w:sz w:val="24"/>
          <w:szCs w:val="24"/>
        </w:rPr>
        <w:t>，满6年后（第7-10年）在上一年度（第6年）基础上递增15%。</w:t>
      </w:r>
    </w:p>
    <w:p>
      <w:pPr>
        <w:spacing w:beforeLines="0" w:afterLines="0"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若合作方或合作方指定的第三方未按照上述要求参加竞标，则合作方构成承诺的违约，合作方需按上述商业及办公保底租金标准向招商方及7个自然村股份公司额外赔付18个月的租金，除此之外，合作方不承担其他任何法律责任。</w:t>
      </w:r>
    </w:p>
    <w:p>
      <w:pPr>
        <w:numPr>
          <w:ilvl w:val="0"/>
          <w:numId w:val="0"/>
        </w:num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招商方及7个自然村股份公司集体现状物业搬迁过渡期补偿费用自签订合作开发协议之日起计算，至招商方和7个自然村股份公司取得合作方交付的回迁物业之日止。搬迁过渡期补偿费用每三年在上一周期的过渡期补偿基础上递增5%，合作方应在取得回迁地块建设工程施工许可证之日起48个月内交付回迁物业，逾期交付期间搬迁过渡期补偿费用从第49个月起，每年在上一年度的过渡期补偿费基础上上浮20%。首个周期内的过渡期补偿费标准详见下表：</w:t>
      </w:r>
    </w:p>
    <w:p>
      <w:pPr>
        <w:numPr>
          <w:ilvl w:val="0"/>
          <w:numId w:val="0"/>
        </w:num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br w:type="page"/>
      </w:r>
      <w:r>
        <w:rPr>
          <w:rFonts w:hint="eastAsia" w:ascii="宋体" w:hAnsi="宋体" w:eastAsia="宋体" w:cs="宋体"/>
          <w:sz w:val="24"/>
          <w:szCs w:val="24"/>
        </w:rPr>
        <w:t xml:space="preserve"> </w:t>
      </w:r>
    </w:p>
    <w:tbl>
      <w:tblPr>
        <w:tblStyle w:val="12"/>
        <w:tblW w:w="0" w:type="auto"/>
        <w:jc w:val="center"/>
        <w:tblLayout w:type="fixed"/>
        <w:tblCellMar>
          <w:top w:w="0" w:type="dxa"/>
          <w:left w:w="108" w:type="dxa"/>
          <w:bottom w:w="0" w:type="dxa"/>
          <w:right w:w="108" w:type="dxa"/>
        </w:tblCellMar>
      </w:tblPr>
      <w:tblGrid>
        <w:gridCol w:w="3230"/>
        <w:gridCol w:w="1412"/>
        <w:gridCol w:w="1614"/>
        <w:gridCol w:w="1614"/>
        <w:gridCol w:w="1749"/>
      </w:tblGrid>
      <w:tr>
        <w:tblPrEx>
          <w:tblCellMar>
            <w:top w:w="0" w:type="dxa"/>
            <w:left w:w="108" w:type="dxa"/>
            <w:bottom w:w="0" w:type="dxa"/>
            <w:right w:w="108" w:type="dxa"/>
          </w:tblCellMar>
        </w:tblPrEx>
        <w:trPr>
          <w:trHeight w:val="1034" w:hRule="atLeast"/>
          <w:jc w:val="center"/>
        </w:trPr>
        <w:tc>
          <w:tcPr>
            <w:tcW w:w="3230"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5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股份公司名称</w:t>
            </w:r>
          </w:p>
        </w:tc>
        <w:tc>
          <w:tcPr>
            <w:tcW w:w="1412"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5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现状物业</w:t>
            </w:r>
          </w:p>
          <w:p>
            <w:pPr>
              <w:widowControl/>
              <w:spacing w:line="5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用途</w:t>
            </w:r>
          </w:p>
        </w:tc>
        <w:tc>
          <w:tcPr>
            <w:tcW w:w="1614"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5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被置换房屋建筑面积（㎡）</w:t>
            </w:r>
          </w:p>
        </w:tc>
        <w:tc>
          <w:tcPr>
            <w:tcW w:w="1614"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5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过渡期补偿费标准（元/㎡/月）</w:t>
            </w:r>
          </w:p>
        </w:tc>
        <w:tc>
          <w:tcPr>
            <w:tcW w:w="1749" w:type="dxa"/>
            <w:tcBorders>
              <w:top w:val="single" w:color="auto" w:sz="4" w:space="0"/>
              <w:left w:val="single" w:color="auto" w:sz="4" w:space="0"/>
              <w:bottom w:val="single" w:color="auto" w:sz="4" w:space="0"/>
              <w:right w:val="single" w:color="auto" w:sz="4" w:space="0"/>
            </w:tcBorders>
            <w:shd w:val="clear" w:color="000000" w:fill="D9D9D9"/>
            <w:noWrap w:val="0"/>
            <w:vAlign w:val="center"/>
          </w:tcPr>
          <w:p>
            <w:pPr>
              <w:widowControl/>
              <w:spacing w:line="5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月过渡期补偿费</w:t>
            </w:r>
          </w:p>
          <w:p>
            <w:pPr>
              <w:widowControl/>
              <w:spacing w:line="520" w:lineRule="exact"/>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金额（元）</w:t>
            </w:r>
          </w:p>
        </w:tc>
      </w:tr>
      <w:tr>
        <w:tblPrEx>
          <w:tblCellMar>
            <w:top w:w="0" w:type="dxa"/>
            <w:left w:w="108" w:type="dxa"/>
            <w:bottom w:w="0" w:type="dxa"/>
            <w:right w:w="108" w:type="dxa"/>
          </w:tblCellMar>
        </w:tblPrEx>
        <w:trPr>
          <w:trHeight w:val="90" w:hRule="atLeast"/>
          <w:jc w:val="center"/>
        </w:trPr>
        <w:tc>
          <w:tcPr>
            <w:tcW w:w="323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深圳市新南股份合作公司</w:t>
            </w:r>
          </w:p>
        </w:tc>
        <w:tc>
          <w:tcPr>
            <w:tcW w:w="141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66,894.617 </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1,939,943.89 </w:t>
            </w:r>
          </w:p>
        </w:tc>
      </w:tr>
      <w:tr>
        <w:tblPrEx>
          <w:tblCellMar>
            <w:top w:w="0" w:type="dxa"/>
            <w:left w:w="108" w:type="dxa"/>
            <w:bottom w:w="0" w:type="dxa"/>
            <w:right w:w="108" w:type="dxa"/>
          </w:tblCellMar>
        </w:tblPrEx>
        <w:trPr>
          <w:trHeight w:val="522" w:hRule="atLeast"/>
          <w:jc w:val="center"/>
        </w:trPr>
        <w:tc>
          <w:tcPr>
            <w:tcW w:w="323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深圳市力元吓股份合作公司</w:t>
            </w:r>
          </w:p>
        </w:tc>
        <w:tc>
          <w:tcPr>
            <w:tcW w:w="141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9654.59</w:t>
            </w:r>
          </w:p>
        </w:tc>
        <w:tc>
          <w:tcPr>
            <w:tcW w:w="1614"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279,983.11 </w:t>
            </w:r>
          </w:p>
        </w:tc>
      </w:tr>
      <w:tr>
        <w:tblPrEx>
          <w:tblCellMar>
            <w:top w:w="0" w:type="dxa"/>
            <w:left w:w="108" w:type="dxa"/>
            <w:bottom w:w="0" w:type="dxa"/>
            <w:right w:w="108" w:type="dxa"/>
          </w:tblCellMar>
        </w:tblPrEx>
        <w:trPr>
          <w:trHeight w:val="522" w:hRule="atLeast"/>
          <w:jc w:val="center"/>
        </w:trPr>
        <w:tc>
          <w:tcPr>
            <w:tcW w:w="323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深圳市前进股份合作公司</w:t>
            </w:r>
          </w:p>
        </w:tc>
        <w:tc>
          <w:tcPr>
            <w:tcW w:w="141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2,049.976 </w:t>
            </w:r>
          </w:p>
        </w:tc>
        <w:tc>
          <w:tcPr>
            <w:tcW w:w="1614"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59,449.30 </w:t>
            </w:r>
          </w:p>
        </w:tc>
      </w:tr>
      <w:tr>
        <w:tblPrEx>
          <w:tblCellMar>
            <w:top w:w="0" w:type="dxa"/>
            <w:left w:w="108" w:type="dxa"/>
            <w:bottom w:w="0" w:type="dxa"/>
            <w:right w:w="108" w:type="dxa"/>
          </w:tblCellMar>
        </w:tblPrEx>
        <w:trPr>
          <w:trHeight w:val="522" w:hRule="atLeast"/>
          <w:jc w:val="center"/>
        </w:trPr>
        <w:tc>
          <w:tcPr>
            <w:tcW w:w="323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深圳市伍屋围氹元股份合作公司</w:t>
            </w:r>
          </w:p>
        </w:tc>
        <w:tc>
          <w:tcPr>
            <w:tcW w:w="141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1,281.235 </w:t>
            </w:r>
          </w:p>
        </w:tc>
        <w:tc>
          <w:tcPr>
            <w:tcW w:w="1614"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37,155.82</w:t>
            </w:r>
          </w:p>
        </w:tc>
      </w:tr>
      <w:tr>
        <w:tblPrEx>
          <w:tblCellMar>
            <w:top w:w="0" w:type="dxa"/>
            <w:left w:w="108" w:type="dxa"/>
            <w:bottom w:w="0" w:type="dxa"/>
            <w:right w:w="108" w:type="dxa"/>
          </w:tblCellMar>
        </w:tblPrEx>
        <w:trPr>
          <w:trHeight w:val="522" w:hRule="atLeast"/>
          <w:jc w:val="center"/>
        </w:trPr>
        <w:tc>
          <w:tcPr>
            <w:tcW w:w="323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深圳市伍屋围九巷股份合作公司</w:t>
            </w:r>
          </w:p>
        </w:tc>
        <w:tc>
          <w:tcPr>
            <w:tcW w:w="141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1,281.235 </w:t>
            </w:r>
          </w:p>
        </w:tc>
        <w:tc>
          <w:tcPr>
            <w:tcW w:w="1614"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37,155.82 </w:t>
            </w:r>
          </w:p>
        </w:tc>
      </w:tr>
      <w:tr>
        <w:tblPrEx>
          <w:tblCellMar>
            <w:top w:w="0" w:type="dxa"/>
            <w:left w:w="108" w:type="dxa"/>
            <w:bottom w:w="0" w:type="dxa"/>
            <w:right w:w="108" w:type="dxa"/>
          </w:tblCellMar>
        </w:tblPrEx>
        <w:trPr>
          <w:trHeight w:val="522" w:hRule="atLeast"/>
          <w:jc w:val="center"/>
        </w:trPr>
        <w:tc>
          <w:tcPr>
            <w:tcW w:w="323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深圳市元屋围股份合作公司</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768.741 </w:t>
            </w:r>
          </w:p>
        </w:tc>
        <w:tc>
          <w:tcPr>
            <w:tcW w:w="1614"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22,293.49 </w:t>
            </w:r>
          </w:p>
        </w:tc>
      </w:tr>
      <w:tr>
        <w:tblPrEx>
          <w:tblCellMar>
            <w:top w:w="0" w:type="dxa"/>
            <w:left w:w="108" w:type="dxa"/>
            <w:bottom w:w="0" w:type="dxa"/>
            <w:right w:w="108" w:type="dxa"/>
          </w:tblCellMar>
        </w:tblPrEx>
        <w:trPr>
          <w:trHeight w:val="522" w:hRule="atLeast"/>
          <w:jc w:val="center"/>
        </w:trPr>
        <w:tc>
          <w:tcPr>
            <w:tcW w:w="3230"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深圳市伍屋围北门坳股份合作公司</w:t>
            </w:r>
          </w:p>
        </w:tc>
        <w:tc>
          <w:tcPr>
            <w:tcW w:w="1412"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640.712 </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18,580.65</w:t>
            </w:r>
          </w:p>
        </w:tc>
      </w:tr>
      <w:tr>
        <w:tblPrEx>
          <w:tblCellMar>
            <w:top w:w="0" w:type="dxa"/>
            <w:left w:w="108" w:type="dxa"/>
            <w:bottom w:w="0" w:type="dxa"/>
            <w:right w:w="108" w:type="dxa"/>
          </w:tblCellMar>
        </w:tblPrEx>
        <w:trPr>
          <w:trHeight w:val="522" w:hRule="atLeast"/>
          <w:jc w:val="center"/>
        </w:trPr>
        <w:tc>
          <w:tcPr>
            <w:tcW w:w="3230" w:type="dxa"/>
            <w:tcBorders>
              <w:top w:val="nil"/>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深圳市龙岗旧圩股份合作公司</w:t>
            </w:r>
          </w:p>
        </w:tc>
        <w:tc>
          <w:tcPr>
            <w:tcW w:w="1412" w:type="dxa"/>
            <w:tcBorders>
              <w:top w:val="nil"/>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厂房及配套</w:t>
            </w:r>
          </w:p>
        </w:tc>
        <w:tc>
          <w:tcPr>
            <w:tcW w:w="1614" w:type="dxa"/>
            <w:tcBorders>
              <w:top w:val="nil"/>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 xml:space="preserve">512.494 </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29</w:t>
            </w:r>
          </w:p>
        </w:tc>
        <w:tc>
          <w:tcPr>
            <w:tcW w:w="1749" w:type="dxa"/>
            <w:tcBorders>
              <w:top w:val="nil"/>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 xml:space="preserve">14,862.33 </w:t>
            </w:r>
          </w:p>
        </w:tc>
      </w:tr>
      <w:tr>
        <w:tblPrEx>
          <w:tblCellMar>
            <w:top w:w="0" w:type="dxa"/>
            <w:left w:w="108" w:type="dxa"/>
            <w:bottom w:w="0" w:type="dxa"/>
            <w:right w:w="108" w:type="dxa"/>
          </w:tblCellMar>
        </w:tblPrEx>
        <w:trPr>
          <w:trHeight w:val="537" w:hRule="atLeast"/>
          <w:jc w:val="center"/>
        </w:trPr>
        <w:tc>
          <w:tcPr>
            <w:tcW w:w="464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汇总</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r>
              <w:rPr>
                <w:rFonts w:hint="eastAsia" w:ascii="宋体" w:hAnsi="宋体" w:eastAsia="宋体" w:cs="宋体"/>
                <w:b w:val="0"/>
                <w:bCs/>
                <w:kern w:val="0"/>
                <w:sz w:val="24"/>
                <w:szCs w:val="24"/>
              </w:rPr>
              <w:t>83,083.60</w:t>
            </w:r>
          </w:p>
        </w:tc>
        <w:tc>
          <w:tcPr>
            <w:tcW w:w="161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hint="eastAsia" w:ascii="宋体" w:hAnsi="宋体" w:eastAsia="宋体" w:cs="宋体"/>
                <w:b w:val="0"/>
                <w:bCs/>
                <w:kern w:val="0"/>
                <w:sz w:val="24"/>
                <w:szCs w:val="24"/>
              </w:rPr>
            </w:pPr>
          </w:p>
        </w:tc>
        <w:tc>
          <w:tcPr>
            <w:tcW w:w="1749" w:type="dxa"/>
            <w:tcBorders>
              <w:top w:val="single" w:color="auto" w:sz="4" w:space="0"/>
              <w:left w:val="nil"/>
              <w:bottom w:val="single" w:color="auto" w:sz="4" w:space="0"/>
              <w:right w:val="single" w:color="auto" w:sz="4" w:space="0"/>
            </w:tcBorders>
            <w:noWrap w:val="0"/>
            <w:vAlign w:val="center"/>
          </w:tcPr>
          <w:p>
            <w:pPr>
              <w:spacing w:line="520" w:lineRule="exact"/>
              <w:jc w:val="center"/>
              <w:rPr>
                <w:rFonts w:hint="eastAsia" w:ascii="宋体" w:hAnsi="宋体" w:eastAsia="宋体" w:cs="宋体"/>
                <w:b w:val="0"/>
                <w:bCs/>
                <w:sz w:val="24"/>
                <w:szCs w:val="24"/>
              </w:rPr>
            </w:pPr>
            <w:r>
              <w:rPr>
                <w:rFonts w:hint="eastAsia" w:ascii="宋体" w:hAnsi="宋体" w:eastAsia="宋体" w:cs="宋体"/>
                <w:b w:val="0"/>
                <w:bCs/>
                <w:sz w:val="24"/>
                <w:szCs w:val="24"/>
              </w:rPr>
              <w:t>2,409,424.40</w:t>
            </w:r>
          </w:p>
        </w:tc>
      </w:tr>
    </w:tbl>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招商方和7个自然村股份公司与选定的项目合作方签订合作协议之日起十个工作日内，合作方支付首期搬迁过渡期间的补偿费用。首期过渡期补偿费之后，每季度支付一次，即合作方应于每年的1月15日前、4月15日前、7月15日前、10月15日前支付当期该季度的过渡期补偿费。最后一期过渡期补偿费的支付期限不足一个季度的，按实际天数结算，于回迁房屋入伙后一个月内结算支付。合作方应按时支付过渡期补偿费，逾期支付的，每逾期一天按拖欠金额的万分之五向招商方和7个自然村股份公司支付违约金。</w:t>
      </w:r>
    </w:p>
    <w:p>
      <w:pPr>
        <w:spacing w:beforeLines="0" w:afterLines="0" w:line="24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招商方和7个自然村股份公司与选定的项目合作方签订合作协议之日起十个工作日内，合作方依据招商方和7个自然村股份公司与意向合作方签订的场地使用合同，一次性补偿支付按实际使用天数结算场地使用费与本协议约定的物业搬迁过渡期间补偿费用差额部分，其中招商方和深圳市力元吓股份合作公司起算时间为2022年1月6日，另外6个自然村股份公司起算时间为2022年１月1日。</w:t>
      </w:r>
    </w:p>
    <w:p>
      <w:pPr>
        <w:spacing w:beforeLines="0" w:afterLines="0" w:line="240" w:lineRule="auto"/>
        <w:ind w:firstLine="600" w:firstLineChars="250"/>
        <w:rPr>
          <w:rFonts w:hint="eastAsia" w:ascii="宋体" w:hAnsi="宋体" w:eastAsia="宋体" w:cs="宋体"/>
          <w:sz w:val="24"/>
          <w:szCs w:val="24"/>
          <w:highlight w:val="yellow"/>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六、回迁物业安置、选房、面积差异结算及交付的约定</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一）涉及招商方及7个自然村股份公司回迁地块及回迁物业的建筑设计方案，合作方须提前征询招商方及7个自然村股份公司意见，并得到招商方及7个自然村股份公司确认，合作方对招商方及7个自然村股份公司提出的合理意见建议在条件允许的前提下予以采纳。</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（二）回迁商业安置及选房事项</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1、招商方及7个自然村股份公司回迁商业安置在本项目规划一期01地块，各权利人回迁商业建筑面积及安置楼层详见《利益分配表》。</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2、招商方及7个自然村股份公司回迁商业所在楼层的具体位置，待本项目施工图经批准并完成施工图查丈后与合作方商定，</w:t>
      </w:r>
      <w:bookmarkStart w:id="177" w:name="_Hlk24209085"/>
      <w:r>
        <w:rPr>
          <w:rFonts w:hint="eastAsia" w:ascii="宋体" w:hAnsi="宋体" w:eastAsia="宋体" w:cs="宋体"/>
          <w:sz w:val="24"/>
          <w:szCs w:val="24"/>
        </w:rPr>
        <w:t>与合作方另行签署回迁商业房屋选房确认书</w:t>
      </w:r>
      <w:bookmarkEnd w:id="177"/>
      <w:r>
        <w:rPr>
          <w:rFonts w:hint="eastAsia" w:ascii="宋体" w:hAnsi="宋体" w:eastAsia="宋体" w:cs="宋体"/>
          <w:sz w:val="24"/>
          <w:szCs w:val="24"/>
        </w:rPr>
        <w:t>。</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3、回迁商业物业毛坯交付，公共部分区域带装修。</w:t>
      </w:r>
    </w:p>
    <w:p>
      <w:pPr>
        <w:spacing w:line="24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（三）回迁办公用房安置及选房事项</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1、招商方回迁办公用房安置在本项目01地块规划的办公楼宇。</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2、招商方回迁办公用房按照“整栋回迁”的要求，待本项目施工图经批准并完成施工图查丈后，与合作方另行签署回迁办公房屋选房确认书。</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3、回迁办公物业毛坯交付，公共部分区域带装修。</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（四）回迁住宅用房安置及选房事项</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1、招商方回迁住宅用房安置在本项目01、03地块，其中住宅优先回迁安置在01地块，不足的在03地块回迁。</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2、招商方回迁住宅用房按照“整层且连续楼层”的要求，待本项目施工图经批准并完成施工图查丈后由招商方与合作方协商确定具体楼层，与合作方另行签署回迁住宅房屋选房确认书。</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3、回迁住宅物业按照建筑面积2000元/㎡的装修市场价值进行装修，经招商方查验确认合格后接收。</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（五）回迁物业面积差异结算</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招商方及7个自然村股份公司同用途的回迁安置物业按照“面积之差最小”的原则选房，如同用途的实际回迁物业总建筑面积与应回迁建筑面积存在不一致的情况，建筑面积差异值按照如下办法进行补差结算：</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1、实际回迁物业总建筑面积小于应回迁建筑面积的，合作方应一次性支付面积差异补偿款给相应权利人。面积差异补偿款 =同用途回迁物业的平均市场单价×回迁物业建筑面积差异值。各类回迁物业平均市场单价按《可行性研究报告书》测算价格。</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2、住宅实际回迁物业总建筑面积大于应回迁建筑面积的，相应权利人应一次性支付面积差异房价款给合作方，房价款按回迁物业建筑面积差异值分段进行结算：</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（1）建筑面积差异值在3‰（含3‰）以内的，面积差异房价款 =同用途回迁物业的平均市场单价×90%×回迁物业建筑面积差异值。</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（2）建筑面积差异值在3‰（不含3‰）以上的部分，面积差异房价款 =同用途回迁物业的平均市场单价×回迁物业建筑面积差异值。</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（3）住宅物业平均市场单价按照《可行性研究报告书》测算为准，价格为人民币40000元/㎡。</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３、商业、办公实际回迁物业总建筑面积或分项计算的商业、办公面积大于应回迁建筑总面积或分项计算的回迁商业、回迁办公面积的，按以下方式进行面积结差：</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（1）合作方在建筑设计、建筑施工报建时必须确保完成招商底价确定的18000平方米商业面积设计和建设，保障实际回迁商业面积不得低于18000平方米。</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为保障集体利益，若合作方实际交付的商业面积超过18000平方米的，合作方应按照“先商业后办公”的原则优先回迁商业物业给招商方，且同意按照每超过一平方米回迁商业面积，相应减少一平方米回迁办公物业面积的方式进行商业物业面积结差，招商方无须补偿合作方商业物业与办公物业之间的差价。</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（3）交付的办公物业建筑面积大于应回迁的办公物业面积（指商业物业面积结差完成后的应回迁办公物业面积）的，差异值在3‰（含3‰）以内的，招商方应补偿合作方面积差异房价款 =同用途回迁物业的平均市场单价×90%×回迁物业建筑面积差异值。建筑面积差异值在3‰（不含3‰）以上的部分，招商方应补偿合作方面积差异房价款 =同用途回迁物业的平均市场单价×回迁物业建筑面积差异值。</w:t>
      </w:r>
    </w:p>
    <w:p>
      <w:pPr>
        <w:spacing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（4）办公物业平均市场单价按照《可行性研究报告书》测算为准，价格为人民币28000元/㎡。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4、如实际回迁商业及办公面积大于应回迁商业及办公面积，则招商方可选择按上述面积差异方式结算，或按照等价值转化为住宅面积，具体另行商议。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5、面积差异结算的具体事宜，后续由招商方及7个自然村股份公司董事会代表各股份公司与合作方签订合作开发协议予以约定。</w:t>
      </w:r>
    </w:p>
    <w:p>
      <w:pPr>
        <w:spacing w:beforeLines="0" w:afterLines="0" w:line="240" w:lineRule="auto"/>
        <w:ind w:firstLine="480" w:firstLineChars="200"/>
        <w:rPr>
          <w:rFonts w:hint="eastAsia" w:ascii="宋体" w:hAnsi="宋体" w:eastAsia="宋体" w:cs="宋体"/>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七、回迁物业办证登记价格及税费承担约定</w:t>
      </w:r>
    </w:p>
    <w:p>
      <w:pPr>
        <w:spacing w:beforeLines="0" w:afterLines="0" w:line="240" w:lineRule="auto"/>
        <w:ind w:firstLine="480" w:firstLineChars="200"/>
        <w:rPr>
          <w:rFonts w:hint="eastAsia" w:ascii="宋体" w:hAnsi="宋体" w:eastAsia="宋体" w:cs="宋体"/>
          <w:sz w:val="24"/>
          <w:szCs w:val="24"/>
        </w:rPr>
      </w:pPr>
      <w:bookmarkStart w:id="178" w:name="_Hlk29451873"/>
      <w:r>
        <w:rPr>
          <w:rFonts w:hint="eastAsia" w:ascii="宋体" w:hAnsi="宋体" w:eastAsia="宋体" w:cs="宋体"/>
          <w:sz w:val="24"/>
          <w:szCs w:val="24"/>
        </w:rPr>
        <w:t xml:space="preserve">1、回迁物业产权性质：市场商品房，合作方负责办理（红本）不动产权证至招商方及7个自然村股份公司名下。   </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2、回迁物业原则上按照评估机构出具的建造成本价价格申报产权登记，住宅类回迁物业，届时招商方及7个自然村股份公司根据集体物业的经营特点及相关政策规定与合作方商定（书面确定）产权登记价格。</w:t>
      </w:r>
      <w:bookmarkEnd w:id="178"/>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3、合作方应在回迁物业交付之日起12个月内为招商方及7个自然村股份公司办理回迁物业的不动产权证，招商方及7个自然村股份公司提供相应配合。</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4、回迁物业办证所涉及的税费及相关费用，应回迁建筑面积部分所涉及的税费由合作方承担，超过应回迁建筑面积的部分所涉及的税费及相关费用，由回迁物业权利人、合作方各自承担应缴纳的税费。</w:t>
      </w:r>
    </w:p>
    <w:p>
      <w:pPr>
        <w:spacing w:beforeLines="0" w:afterLines="0" w:line="240" w:lineRule="auto"/>
        <w:ind w:firstLine="482" w:firstLineChars="200"/>
        <w:rPr>
          <w:rFonts w:hint="eastAsia" w:ascii="宋体" w:hAnsi="宋体" w:eastAsia="宋体" w:cs="宋体"/>
          <w:b/>
          <w:bCs/>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八、物业管理及停车场使用约定</w:t>
      </w:r>
      <w:r>
        <w:rPr>
          <w:rFonts w:hint="eastAsia" w:ascii="宋体" w:hAnsi="宋体" w:eastAsia="宋体" w:cs="宋体"/>
          <w:bCs/>
          <w:sz w:val="24"/>
          <w:szCs w:val="24"/>
        </w:rPr>
        <w:t>：</w:t>
      </w:r>
      <w:r>
        <w:rPr>
          <w:rFonts w:hint="eastAsia" w:ascii="宋体" w:hAnsi="宋体" w:eastAsia="宋体" w:cs="宋体"/>
          <w:b/>
          <w:bCs/>
          <w:sz w:val="24"/>
          <w:szCs w:val="24"/>
        </w:rPr>
        <w:t xml:space="preserve"> </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回迁物业交付使用后由合作方委托物业服务企业统一进行前期物业管理。但招商方及7个自然村股份公司针对物业管理要求等内容有权提出合理化建议，对招商方及7个自然村股份公司提出的合理化意见建议，合作方应予以采纳。业主委员会成立后，有权根据相关政策规定，自行选择物业服务企业进行管理。</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1、招商方及7个自然村股份公司应与物业服务企业签署前期物业服务协议，承担回迁物业所涉及的物业管理费、专项维修资金、水电费等费用。</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2、本项目按照规划配建的地下停车场及停车位，由物业服务企业统一进行管理，向业主提供车辆停放服务，并按照公示的车辆停放服务收费标准收取停车服务费用，停车场收益按《深圳经济特区物业管理条例》规定使用。招商方及7个自然村股份公司若需在项目内设立固定办公场所的，则涉及招商方及7个自然村股份公司公务车辆以及从事回迁物业管理的人员车辆免收停车费，具体以招商方及7个自然村股份公司与合作方签订的合作开发协议或搬迁补偿协议为准。                </w:t>
      </w:r>
    </w:p>
    <w:p>
      <w:pPr>
        <w:spacing w:beforeLines="0" w:afterLines="0" w:line="240" w:lineRule="auto"/>
        <w:rPr>
          <w:rFonts w:hint="eastAsia" w:ascii="宋体" w:hAnsi="宋体" w:eastAsia="宋体" w:cs="宋体"/>
          <w:b/>
          <w:bCs/>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九、项目开发进度和配套设施要求</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城市更新项目开发进程一般分为城市更新单元计划立项、土地及建筑物信息核查、专项规划审批、房屋搬迁谈判与拆除、实施主体确认、签订土地使用权出让合同、用地规划许可证、工程规划许可证、施工许可证、基础及主体施工、项目销售、项目竣工验收及备案、入伙交付等节点。本项目现已完成城市更新单元计划立项、土地及建筑物信息核查和专项规划批复。</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合作方应自本项目回迁物业所在地块取得建设工程施工许可证之日起</w:t>
      </w:r>
      <w:r>
        <w:rPr>
          <w:rFonts w:hint="eastAsia" w:ascii="宋体" w:hAnsi="宋体" w:eastAsia="宋体" w:cs="宋体"/>
          <w:b/>
          <w:sz w:val="24"/>
          <w:szCs w:val="24"/>
          <w:u w:val="single"/>
        </w:rPr>
        <w:t>48</w:t>
      </w:r>
      <w:r>
        <w:rPr>
          <w:rFonts w:hint="eastAsia" w:ascii="宋体" w:hAnsi="宋体" w:eastAsia="宋体" w:cs="宋体"/>
          <w:sz w:val="24"/>
          <w:szCs w:val="24"/>
        </w:rPr>
        <w:t>个月内，将回迁物业交付给招商方及7个自然村股份公司。</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合作方应按照本项目规划，建设及移交公共配套设施（含地下）21,720 ㎡（含12班幼儿园3200㎡、占地面积3600㎡，9班幼儿园2400㎡、占地面积2700㎡，社区管理用房300㎡，社区警务室50㎡，便民服务站（社区服务中心）400㎡，党群服务中心650㎡，文化活动室2000㎡，社区健康服务中心1000㎡，社区老年人日间照料中心1500㎡，社区级公共配套用房2630㎡，综合车站6000㎡，公共充电站1100㎡，邮政所100㎡，小型垃圾转运站200㎡，再生资源回收站60㎡，公共厕所120㎡，环卫工人作息房10㎡），另配建社区体育活动场地占地面积6000 平方米。</w:t>
      </w:r>
    </w:p>
    <w:p>
      <w:pPr>
        <w:spacing w:beforeLines="0" w:afterLines="0" w:line="240" w:lineRule="auto"/>
        <w:ind w:firstLine="420"/>
        <w:rPr>
          <w:rFonts w:hint="eastAsia" w:ascii="宋体" w:hAnsi="宋体" w:eastAsia="宋体" w:cs="宋体"/>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十、合作开发期限</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本项目合作开发期限，自招商方及7个自然村股份公司与合作方签订《合作开发协议》之日起计算，至回迁物业办毕不动产权证之日止。</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合作方应于本项目回迁物业所在地块取得施工许可证之日起48个月内完成竣工备案并向招商方及7个自然村股份公司交付回迁物业。合作方应自获得城市更新主管部门核发的项目实施主体确认文件之日起36个月内取得施工许可证。</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若因合作方原因导致项目未在主管部门核发的项目实施主体确认文件之日起36个月内取得施工许可证或逾期向招商方及7个自然村股份公司交付分成物业超过5年的，即视为违约，招商方及有收取履约保证金的自然村股份公司有权没收履约保证金，并按法律法规规定追究合作方违约责任。合作方应保证项目开发进度及招商方和7个自然村股份公司的物业回迁权，自逾期满五年之日起，招商方及7个自然村股份公司有权动用合作方向政府部门缴交的项目监管资金进行开发建设，确保回迁物业的交付。</w:t>
      </w:r>
    </w:p>
    <w:p>
      <w:pPr>
        <w:spacing w:beforeLines="0" w:afterLines="0" w:line="240" w:lineRule="auto"/>
        <w:rPr>
          <w:rFonts w:hint="eastAsia" w:ascii="宋体" w:hAnsi="宋体" w:eastAsia="宋体" w:cs="宋体"/>
          <w:b/>
          <w:bCs/>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十一、交易保证金和履约保证金约定</w:t>
      </w:r>
    </w:p>
    <w:p>
      <w:pPr>
        <w:spacing w:beforeLines="0" w:afterLines="0"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（一）交易保证金</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1、本项目交易保证金为人民币</w:t>
      </w:r>
      <w:r>
        <w:rPr>
          <w:rFonts w:hint="eastAsia" w:ascii="宋体" w:hAnsi="宋体" w:eastAsia="宋体" w:cs="宋体"/>
          <w:sz w:val="24"/>
          <w:szCs w:val="24"/>
          <w:u w:val="single"/>
        </w:rPr>
        <w:t>5000</w:t>
      </w:r>
      <w:r>
        <w:rPr>
          <w:rFonts w:hint="eastAsia" w:ascii="宋体" w:hAnsi="宋体" w:eastAsia="宋体" w:cs="宋体"/>
          <w:sz w:val="24"/>
          <w:szCs w:val="24"/>
        </w:rPr>
        <w:t>万元。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2、竞投人应于报名截止日前交纳交易保证金至深圳交易集团有限公司龙岗分公司指定账户。交易保证金应一律从竞投人基本账户转出，不接受现金汇款、个人银行结算账户转出和第三方代交。</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w:t>
      </w:r>
      <w:bookmarkStart w:id="179" w:name="_Hlk21982144"/>
      <w:r>
        <w:rPr>
          <w:rFonts w:hint="eastAsia" w:ascii="宋体" w:hAnsi="宋体" w:eastAsia="宋体" w:cs="宋体"/>
          <w:sz w:val="24"/>
          <w:szCs w:val="24"/>
        </w:rPr>
        <w:t>交易保证金处置方式：</w:t>
      </w:r>
      <w:bookmarkEnd w:id="179"/>
    </w:p>
    <w:p>
      <w:pPr>
        <w:spacing w:beforeLines="0" w:afterLines="0" w:line="240" w:lineRule="auto"/>
        <w:ind w:firstLine="480" w:firstLineChars="200"/>
        <w:rPr>
          <w:rFonts w:hint="eastAsia" w:ascii="宋体" w:hAnsi="宋体" w:eastAsia="宋体" w:cs="宋体"/>
          <w:sz w:val="24"/>
          <w:szCs w:val="24"/>
        </w:rPr>
      </w:pPr>
      <w:bookmarkStart w:id="180" w:name="_Hlk21982155"/>
      <w:r>
        <w:rPr>
          <w:rFonts w:hint="eastAsia" w:ascii="宋体" w:hAnsi="宋体" w:eastAsia="宋体" w:cs="宋体"/>
          <w:sz w:val="24"/>
          <w:szCs w:val="24"/>
        </w:rPr>
        <w:t>（1）未被确定为合作方的竞投人，凭交款凭证由深圳交易集团有限公司龙岗分公司在办理退还交易保证金手续次日起5个工作日内全额原路无息退回。</w:t>
      </w:r>
      <w:bookmarkEnd w:id="180"/>
    </w:p>
    <w:p>
      <w:pPr>
        <w:spacing w:beforeLines="0" w:afterLines="0" w:line="240" w:lineRule="auto"/>
        <w:ind w:firstLine="480" w:firstLineChars="200"/>
        <w:rPr>
          <w:rFonts w:hint="eastAsia" w:ascii="宋体" w:hAnsi="宋体" w:eastAsia="宋体" w:cs="宋体"/>
          <w:sz w:val="24"/>
          <w:szCs w:val="24"/>
        </w:rPr>
      </w:pPr>
      <w:bookmarkStart w:id="181" w:name="_Hlk21982178"/>
      <w:r>
        <w:rPr>
          <w:rFonts w:hint="eastAsia" w:ascii="宋体" w:hAnsi="宋体" w:eastAsia="宋体" w:cs="宋体"/>
          <w:sz w:val="24"/>
          <w:szCs w:val="24"/>
        </w:rPr>
        <w:t>（2）竞投人中标后，因合作方原因未与招商方及7个自然村股份公司签署合作开发协议的，取消其合作方资格，交易保证金不予退还。招商方及7个自然村股份公司有权重新选取合作方。</w:t>
      </w:r>
    </w:p>
    <w:bookmarkEnd w:id="181"/>
    <w:p>
      <w:pPr>
        <w:spacing w:beforeLines="0" w:afterLines="0"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（二）履约保证金</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1、本项目履约保证金为人民币5000万元。</w:t>
      </w:r>
    </w:p>
    <w:p>
      <w:pPr>
        <w:spacing w:beforeLines="0" w:afterLines="0" w:line="240" w:lineRule="auto"/>
        <w:ind w:firstLine="480" w:firstLineChars="200"/>
        <w:rPr>
          <w:rFonts w:hint="eastAsia" w:ascii="宋体" w:hAnsi="宋体" w:eastAsia="宋体" w:cs="宋体"/>
          <w:sz w:val="24"/>
          <w:szCs w:val="24"/>
        </w:rPr>
      </w:pPr>
      <w:bookmarkStart w:id="182" w:name="_Hlk29452534"/>
      <w:r>
        <w:rPr>
          <w:rFonts w:hint="eastAsia" w:ascii="宋体" w:hAnsi="宋体" w:eastAsia="宋体" w:cs="宋体"/>
          <w:sz w:val="24"/>
          <w:szCs w:val="24"/>
        </w:rPr>
        <w:t>2、如意向合作方成为合作方，在签订合作开发协议后，其前期交纳给招商方4620万元及深圳市力元吓股份合作公司380万元的意向保证金，合计5000万元意向保证金自动转为本项目履约保证金（招商方4620万元、深圳市力元吓股份合作公司380万元）；如因意向合作方原因未与招商方及7个自然村股份公司签署合作开发协议的，取消其合作方资格，上述合作意向保证金不予退还。在取得《成交凭证》后5个工作日内交易保证金由交易集团全额原路无息退回给意向合作方。</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如非意向合作方成为合作方，合作方交纳的交易保证金由交易集团在签订合作开发协议后5个工作日内划转至招商方、深圳市力元吓股份合作公司指定账户作为履约保证金（招商方4620万元、深圳市力元吓股份合作公司380万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4、合作方不履行合作协议的，履约保证金不予退还。</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该履约保证金在招商方及7个自然村股份公司取得回迁物业的不动产权证书之日起7日内由招商方及深圳市力元吓股份合作公司无息退还，其中招商方返还金额为4620万元，深圳市力元吓股份合作公司返还金额为380万元。</w:t>
      </w:r>
      <w:bookmarkEnd w:id="182"/>
    </w:p>
    <w:p>
      <w:pPr>
        <w:spacing w:beforeLines="0" w:afterLines="0"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（三）项目交易服务费</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本项目在交易集团招商发生的交易服务费由中标人根据交易集团的收费标准及支付要求进行支付。</w:t>
      </w:r>
    </w:p>
    <w:p>
      <w:pPr>
        <w:spacing w:beforeLines="0" w:afterLines="0" w:line="240" w:lineRule="auto"/>
        <w:ind w:firstLine="480" w:firstLineChars="200"/>
        <w:rPr>
          <w:rFonts w:hint="eastAsia" w:ascii="宋体" w:hAnsi="宋体" w:eastAsia="宋体" w:cs="宋体"/>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sz w:val="24"/>
          <w:szCs w:val="24"/>
        </w:rPr>
        <w:t>十二</w:t>
      </w:r>
      <w:r>
        <w:rPr>
          <w:rFonts w:hint="eastAsia" w:ascii="宋体" w:hAnsi="宋体" w:eastAsia="宋体" w:cs="宋体"/>
          <w:b/>
          <w:bCs/>
          <w:sz w:val="24"/>
          <w:szCs w:val="24"/>
        </w:rPr>
        <w:t>、竞投人的资质和条件</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竞投人或其控股母公司工商注册时间10年以上（含本数），竞投人净资产规模在人民币10亿元（含本数）以上，且负债率不高于50%（含本数）（提供《营业执照》、政府工商部门官方网站查询的企业登记信息查询资料、2021年企业年度审计报告或2022年度上半年审计报告，提供复印件，核验原件）。</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竞投人或其控股母公司（直接持有竞投人50%以上股权，下同）具备房地产项目开发资质三级或三级以上（提供竞投人或其控股母公司开发资质证书，提供控股母公司资质的须附母公司营业执照以及政府工商部门官方网站载明的竞投人与控股母公司之间股权关系查询文件）；</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竞投人和其控股母公司具有良好的诚信记录（未被国家企业信用信息公示系统网站列入严重违法失信企业名单，未被人民法院列入全国失信被执行人名单，提供竞投人和其控股母公司信息查询的政府官网截图）。</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竞投人或其控股母公司（包括该控股母公司直接持股50%以上的项目公司）在深圳市范围内已完成竣工验收的房地产开发项目建筑面积（计容面积和不计容面积之和，下同）应达到50万平方米以上（含本数，提供建设工程规划验收合格证明文件，复印件须加盖公章）。</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竞投人或其控股母公司（包括该控股母公司直接控股50%以上的项目公司）在深圳市范围内有城市更新项目开发经验（提供与村集体股份合作公司签署的城市更新项目《合作开发协议书》，并提供城市更新项目的计划立项批复及专项规划批复文件）。</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备注：竞投人使用控股母公司的开发资质、开发经验参与竞投的，竞投人中标后，其控股母公司应于招商方及7个自然村股份公司签订合作开发协议书时，出具书面担保函，同意对竞投人在合作开发协议书中的全部责任和义务向招商方及7个自然村股份公司承担连带担保责任。</w:t>
      </w:r>
    </w:p>
    <w:p>
      <w:pPr>
        <w:spacing w:beforeLines="0" w:afterLines="0" w:line="240" w:lineRule="auto"/>
        <w:ind w:firstLine="480" w:firstLineChars="200"/>
        <w:rPr>
          <w:rFonts w:hint="eastAsia" w:ascii="宋体" w:hAnsi="宋体" w:eastAsia="宋体" w:cs="宋体"/>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十三、交易方式</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1、本项目交易方式：采用公开招标，最终交易方式根据资格审查结果确定。</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深圳交易集团有限公司龙岗分公司发布的本项目招商公告期二十个自然日届满后，若符合条件的竞投人超过3家（含），则采取公开招标方式确定合作方；若符合条件的竞投人不足3家，则公告期延长十个自然日。延长公告期满后，若只有1个符合条件的竞投人，采用单一来源谈判方式确定合作方；若有2个符合条件的竞投人,采用竞争性磋商方式确定合作方。</w:t>
      </w:r>
    </w:p>
    <w:p>
      <w:pPr>
        <w:pStyle w:val="18"/>
        <w:numPr>
          <w:ilvl w:val="0"/>
          <w:numId w:val="0"/>
        </w:num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谈判小组由招商方代表和外部专家组成，共7人，其中：招商方代表2人，外部专家5人。招商方代表由深圳市新南股份合作公司董事会推选，外部专家由深圳交易集团有限公司龙岗分公司在专家库中随机抽选。</w:t>
      </w:r>
    </w:p>
    <w:p>
      <w:pPr>
        <w:pStyle w:val="18"/>
        <w:numPr>
          <w:ilvl w:val="0"/>
          <w:numId w:val="0"/>
        </w:num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4、本项目采用百分制评分，总分100分。具体招标文件由招商方股东代表大会授权董事会根据本招商方案另行制定并实施。</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5、公开招标、竞争性磋商交易方式依综合评分各项合计最高分确定合作方。</w:t>
      </w:r>
    </w:p>
    <w:p>
      <w:pPr>
        <w:pStyle w:val="19"/>
        <w:spacing w:beforeLines="0" w:afterLines="0" w:line="24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、考虑到意向合作方在项目前期计划立项、专规报批阶段的贡献，根据公平公正原则，在本次项目评审中将给予意向合作方</w:t>
      </w:r>
      <w:r>
        <w:rPr>
          <w:rFonts w:hint="eastAsia" w:ascii="宋体" w:hAnsi="宋体" w:eastAsia="宋体" w:cs="宋体"/>
          <w:color w:val="auto"/>
          <w:sz w:val="24"/>
          <w:szCs w:val="24"/>
        </w:rPr>
        <w:t>6</w:t>
      </w:r>
      <w:r>
        <w:rPr>
          <w:rFonts w:hint="eastAsia" w:ascii="宋体" w:hAnsi="宋体" w:eastAsia="宋体" w:cs="宋体"/>
          <w:color w:val="auto"/>
          <w:sz w:val="24"/>
          <w:szCs w:val="24"/>
          <w:lang w:val="zh-TW" w:eastAsia="zh-TW"/>
        </w:rPr>
        <w:t>分的优先分。</w:t>
      </w:r>
    </w:p>
    <w:p>
      <w:pPr>
        <w:pStyle w:val="18"/>
        <w:numPr>
          <w:ilvl w:val="0"/>
          <w:numId w:val="0"/>
        </w:numPr>
        <w:spacing w:beforeLines="0" w:afterLines="0" w:line="240" w:lineRule="auto"/>
        <w:ind w:firstLine="480" w:firstLineChars="200"/>
        <w:rPr>
          <w:rFonts w:hint="eastAsia" w:ascii="宋体" w:hAnsi="宋体" w:eastAsia="宋体" w:cs="宋体"/>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十四、前期费用承担和意向合作方退出方式</w:t>
      </w:r>
    </w:p>
    <w:p>
      <w:pPr>
        <w:spacing w:beforeLines="0" w:afterLines="0" w:line="24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（一）本项目前期费用范围</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意向合作方深圳大承企业管理有限公司已完成了本项目的前期工作，包括计划立项、土地及建筑物核查、勘察、设计、非农建设用地指标的合作及调入手续、专项规划编制及报批、部分物业的拆迁补偿安置及清租等。</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根据深圳市中洲会计师事务所有限公司出具的《凤凰工业园项目前期资金投入审验报告》，本项目发生的前期费用总计为人民币896,327,524.47元。</w:t>
      </w:r>
    </w:p>
    <w:p>
      <w:pPr>
        <w:spacing w:beforeLines="0" w:afterLines="0" w:line="24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（二）意向合作方的退出方式</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招商结果确定的合作方为非意向合作方的，意向合作方退出方式如下：</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自深圳交易集团有限公司龙岗分公司向合作方发出《成交凭证》之日起10天内，合作方向意向合作方无条件一次性支付前期费用人民币896,327,524.47元及合理利润人民币179,265,504.89元，合计人民币1,075,593,029.36元，逾期不支付的，招商方有权取消其合作资格，没收交易保证金并重新招商。意向合作方在收到前述款项之日起三个工作日内向合作方移交本项目前期工作的所有计划立项申报和专项规划申报的资料、文件和数据。</w:t>
      </w:r>
    </w:p>
    <w:p>
      <w:pPr>
        <w:spacing w:beforeLines="0" w:afterLines="0" w:line="240" w:lineRule="auto"/>
        <w:rPr>
          <w:rFonts w:hint="eastAsia" w:ascii="宋体" w:hAnsi="宋体" w:eastAsia="宋体" w:cs="宋体"/>
          <w:b/>
          <w:bCs/>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十五、决策和实施程序</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本项目7个自然村股份公司董事会、监事会、集体资产管理委员会、股东代表大会已同意由招商方对外统一招商，本招商方案应经招商方董事会、监事会、集体资产管理委员会、股东（代表）大会依次表决通过后，并按程序报平湖街道办事处审查备案通过实施。</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2、交易流程按深圳交易集团有限公司龙岗分公司有关规定执行。招商方按程序确定合作方，且经平湖街道办事处审查后，招商方及7个自然村股份公司将与合作方签订合作开发协议。</w:t>
      </w:r>
    </w:p>
    <w:p>
      <w:pPr>
        <w:shd w:val="clear" w:color="auto" w:fill="FFFFFF"/>
        <w:spacing w:beforeLines="0" w:afterLines="0" w:line="240" w:lineRule="auto"/>
        <w:ind w:firstLine="480" w:firstLineChars="200"/>
        <w:rPr>
          <w:rFonts w:hint="eastAsia" w:ascii="宋体" w:hAnsi="宋体" w:eastAsia="宋体" w:cs="宋体"/>
          <w:sz w:val="24"/>
          <w:szCs w:val="24"/>
        </w:rPr>
      </w:pPr>
    </w:p>
    <w:p>
      <w:pPr>
        <w:shd w:val="clear" w:color="auto" w:fill="FFFFFF"/>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十六、特别事项说明和风险提示</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1、考虑到意向合作方在意向合作协议有效期内完成了项目前期计划立项和专项规划报审工作，根据公平公正原则，经招商方股东代表大会表决确定，在本次项目评审中将给予意向合作方</w:t>
      </w:r>
      <w:r>
        <w:rPr>
          <w:rFonts w:hint="eastAsia" w:ascii="宋体" w:hAnsi="宋体" w:eastAsia="宋体" w:cs="宋体"/>
          <w:sz w:val="24"/>
          <w:szCs w:val="24"/>
          <w:u w:val="single"/>
        </w:rPr>
        <w:t xml:space="preserve"> 6 </w:t>
      </w:r>
      <w:r>
        <w:rPr>
          <w:rFonts w:hint="eastAsia" w:ascii="宋体" w:hAnsi="宋体" w:eastAsia="宋体" w:cs="宋体"/>
          <w:sz w:val="24"/>
          <w:szCs w:val="24"/>
        </w:rPr>
        <w:t>分的优先分。</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2、本项目被龙岗区城市更新和土地整备局列入“龙岗区重大项目”。合作方须于深圳交易集团有限公司龙岗分公司发出《成交凭证》之日起</w:t>
      </w:r>
      <w:r>
        <w:rPr>
          <w:rFonts w:hint="eastAsia" w:ascii="宋体" w:hAnsi="宋体" w:eastAsia="宋体" w:cs="宋体"/>
          <w:sz w:val="24"/>
          <w:szCs w:val="24"/>
          <w:u w:val="single"/>
        </w:rPr>
        <w:t>90天</w:t>
      </w:r>
      <w:r>
        <w:rPr>
          <w:rFonts w:hint="eastAsia" w:ascii="宋体" w:hAnsi="宋体" w:eastAsia="宋体" w:cs="宋体"/>
          <w:sz w:val="24"/>
          <w:szCs w:val="24"/>
        </w:rPr>
        <w:t>内完成本项目所涉及拆迁安置补偿工作的</w:t>
      </w:r>
      <w:r>
        <w:rPr>
          <w:rFonts w:hint="eastAsia" w:ascii="宋体" w:hAnsi="宋体" w:eastAsia="宋体" w:cs="宋体"/>
          <w:sz w:val="24"/>
          <w:szCs w:val="24"/>
          <w:u w:val="single"/>
        </w:rPr>
        <w:t>80%</w:t>
      </w:r>
      <w:r>
        <w:rPr>
          <w:rFonts w:hint="eastAsia" w:ascii="宋体" w:hAnsi="宋体" w:eastAsia="宋体" w:cs="宋体"/>
          <w:sz w:val="24"/>
          <w:szCs w:val="24"/>
        </w:rPr>
        <w:t>（按照拆迁建筑面积计算）。</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3、本项目可能涉及搬迁补偿等原因引起的信访、解约等风险，由合作方自行承担解决。</w:t>
      </w:r>
    </w:p>
    <w:p>
      <w:pPr>
        <w:spacing w:beforeLines="0" w:afterLines="0" w:line="240" w:lineRule="auto"/>
        <w:ind w:firstLine="480" w:firstLineChars="200"/>
        <w:rPr>
          <w:rFonts w:hint="eastAsia" w:ascii="宋体" w:hAnsi="宋体" w:eastAsia="宋体" w:cs="宋体"/>
          <w:sz w:val="24"/>
          <w:szCs w:val="24"/>
        </w:rPr>
      </w:pPr>
    </w:p>
    <w:p>
      <w:pPr>
        <w:spacing w:beforeLines="0" w:afterLines="0" w:line="240" w:lineRule="auto"/>
        <w:rPr>
          <w:rFonts w:hint="eastAsia" w:ascii="宋体" w:hAnsi="宋体" w:eastAsia="宋体" w:cs="宋体"/>
          <w:b/>
          <w:bCs/>
          <w:sz w:val="24"/>
          <w:szCs w:val="24"/>
        </w:rPr>
      </w:pPr>
      <w:r>
        <w:rPr>
          <w:rFonts w:hint="eastAsia" w:ascii="宋体" w:hAnsi="宋体" w:eastAsia="宋体" w:cs="宋体"/>
          <w:b/>
          <w:bCs/>
          <w:sz w:val="24"/>
          <w:szCs w:val="24"/>
        </w:rPr>
        <w:t>十七、其他</w:t>
      </w:r>
    </w:p>
    <w:p>
      <w:pPr>
        <w:spacing w:beforeLines="0" w:afterLines="0" w:line="240" w:lineRule="auto"/>
        <w:ind w:firstLine="420"/>
        <w:rPr>
          <w:rFonts w:hint="eastAsia" w:ascii="宋体" w:hAnsi="宋体" w:eastAsia="宋体" w:cs="宋体"/>
          <w:sz w:val="24"/>
          <w:szCs w:val="24"/>
        </w:rPr>
      </w:pPr>
      <w:r>
        <w:rPr>
          <w:rFonts w:hint="eastAsia" w:ascii="宋体" w:hAnsi="宋体" w:eastAsia="宋体" w:cs="宋体"/>
          <w:sz w:val="24"/>
          <w:szCs w:val="24"/>
        </w:rPr>
        <w:t>1、本招商方案未涉及的合作开发事宜，以招商方及7个自然村股份公司与合作方签订的合作开发协议为准。</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2、根据政策、法规等有关规定，或者按政府主管部门要求，招商方董事会可对招商公告内容进行变更，对未尽事宜予以明确。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3、合作方在本项目具有下列情形之一的，招商方可单方面无条件取消其项目合作资格：</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（1）被纪检监察部门立案调查，违法违规事实成立的；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（2）隐瞒真实情况，提供虚假资料等弄虚作假的；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（3）实施不正当竞争行为，排斥其他供应商参与竞争的；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（4）抗拒主管部门监督检查的；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（5）实施商业贿赂行为的。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4、招商方对本招商方案有最终的解释权。</w:t>
      </w:r>
    </w:p>
    <w:p>
      <w:pPr>
        <w:spacing w:line="520" w:lineRule="exact"/>
        <w:ind w:right="280"/>
        <w:jc w:val="right"/>
        <w:rPr>
          <w:rFonts w:hint="eastAsia" w:ascii="宋体" w:hAnsi="宋体" w:eastAsia="宋体" w:cs="宋体"/>
          <w:sz w:val="24"/>
          <w:szCs w:val="24"/>
        </w:rPr>
      </w:pPr>
    </w:p>
    <w:p>
      <w:pPr>
        <w:spacing w:line="520" w:lineRule="exact"/>
        <w:ind w:right="280"/>
        <w:jc w:val="right"/>
        <w:rPr>
          <w:rFonts w:hint="eastAsia" w:ascii="宋体" w:hAnsi="宋体" w:eastAsia="宋体" w:cs="宋体"/>
          <w:sz w:val="24"/>
          <w:szCs w:val="24"/>
        </w:rPr>
      </w:pPr>
    </w:p>
    <w:p>
      <w:pPr>
        <w:spacing w:line="520" w:lineRule="exact"/>
        <w:ind w:right="280"/>
        <w:jc w:val="right"/>
        <w:rPr>
          <w:rFonts w:hint="eastAsia" w:ascii="宋体" w:hAnsi="宋体" w:eastAsia="宋体" w:cs="宋体"/>
          <w:sz w:val="24"/>
          <w:szCs w:val="24"/>
        </w:rPr>
      </w:pPr>
      <w:r>
        <w:rPr>
          <w:rFonts w:hint="eastAsia" w:ascii="宋体" w:hAnsi="宋体" w:eastAsia="宋体" w:cs="宋体"/>
          <w:sz w:val="24"/>
          <w:szCs w:val="24"/>
        </w:rPr>
        <w:t>深圳市新南股份合作公司</w:t>
      </w:r>
    </w:p>
    <w:p>
      <w:pPr>
        <w:spacing w:line="520" w:lineRule="exact"/>
        <w:ind w:right="280"/>
        <w:jc w:val="right"/>
        <w:rPr>
          <w:rFonts w:hint="eastAsia" w:ascii="宋体" w:hAnsi="宋体" w:eastAsia="宋体" w:cs="宋体"/>
          <w:sz w:val="24"/>
          <w:szCs w:val="24"/>
        </w:rPr>
      </w:pPr>
    </w:p>
    <w:p>
      <w:pPr>
        <w:spacing w:line="520" w:lineRule="exact"/>
        <w:ind w:right="280"/>
        <w:jc w:val="right"/>
        <w:rPr>
          <w:rFonts w:hint="eastAsia" w:ascii="宋体" w:hAnsi="宋体" w:eastAsia="宋体" w:cs="宋体"/>
          <w:sz w:val="24"/>
          <w:szCs w:val="24"/>
        </w:rPr>
      </w:pPr>
      <w:r>
        <w:rPr>
          <w:rFonts w:hint="eastAsia" w:ascii="宋体" w:hAnsi="宋体" w:eastAsia="宋体" w:cs="宋体"/>
          <w:sz w:val="24"/>
          <w:szCs w:val="24"/>
        </w:rPr>
        <w:t xml:space="preserve">  二〇二二年九月六日</w:t>
      </w:r>
    </w:p>
    <w:p>
      <w:pPr>
        <w:spacing w:line="560" w:lineRule="exact"/>
        <w:ind w:firstLine="420" w:firstLineChars="200"/>
        <w:rPr>
          <w:rFonts w:hint="eastAsia" w:ascii="宋体" w:hAnsi="宋体" w:eastAsia="宋体" w:cs="宋体"/>
          <w:bCs/>
          <w:color w:val="000000"/>
          <w:sz w:val="21"/>
          <w:szCs w:val="21"/>
        </w:rPr>
      </w:pPr>
    </w:p>
    <w:p>
      <w:pPr>
        <w:spacing w:line="440" w:lineRule="exact"/>
        <w:jc w:val="left"/>
        <w:rPr>
          <w:rFonts w:hint="eastAsia" w:ascii="宋体" w:hAnsi="宋体" w:eastAsia="宋体" w:cs="宋体"/>
          <w:b/>
          <w:bCs/>
          <w:color w:val="000000"/>
          <w:szCs w:val="21"/>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3"/>
        <w:spacing w:before="120" w:after="120" w:line="400" w:lineRule="exact"/>
        <w:jc w:val="both"/>
        <w:rPr>
          <w:rFonts w:hint="eastAsia" w:ascii="宋体" w:hAnsi="宋体" w:eastAsia="宋体" w:cs="宋体"/>
          <w:b w:val="0"/>
          <w:bCs w:val="0"/>
          <w:color w:val="000000"/>
          <w:sz w:val="32"/>
        </w:rPr>
      </w:pPr>
    </w:p>
    <w:p>
      <w:pPr>
        <w:rPr>
          <w:rFonts w:hint="eastAsia"/>
        </w:rPr>
      </w:pPr>
    </w:p>
    <w:p>
      <w:pPr>
        <w:pStyle w:val="3"/>
        <w:spacing w:before="120" w:after="120" w:line="400" w:lineRule="exact"/>
        <w:jc w:val="center"/>
        <w:rPr>
          <w:rFonts w:hint="eastAsia" w:ascii="宋体" w:hAnsi="宋体" w:eastAsia="宋体" w:cs="宋体"/>
          <w:b w:val="0"/>
          <w:bCs w:val="0"/>
          <w:color w:val="000000"/>
          <w:sz w:val="32"/>
        </w:rPr>
      </w:pPr>
    </w:p>
    <w:p>
      <w:pPr>
        <w:pStyle w:val="3"/>
        <w:spacing w:before="120" w:after="120" w:line="400" w:lineRule="exact"/>
        <w:jc w:val="center"/>
        <w:rPr>
          <w:rFonts w:hint="eastAsia" w:ascii="宋体" w:hAnsi="宋体" w:eastAsia="宋体" w:cs="宋体"/>
          <w:b w:val="0"/>
          <w:bCs w:val="0"/>
          <w:color w:val="000000"/>
          <w:sz w:val="32"/>
        </w:rPr>
      </w:pPr>
    </w:p>
    <w:p>
      <w:pPr>
        <w:pStyle w:val="3"/>
        <w:spacing w:before="120" w:after="120" w:line="400" w:lineRule="exact"/>
        <w:jc w:val="center"/>
        <w:rPr>
          <w:rFonts w:hint="eastAsia" w:ascii="宋体" w:hAnsi="宋体" w:eastAsia="宋体" w:cs="宋体"/>
          <w:b w:val="0"/>
          <w:bCs w:val="0"/>
          <w:color w:val="000000"/>
          <w:sz w:val="32"/>
        </w:rPr>
      </w:pPr>
    </w:p>
    <w:p>
      <w:pPr>
        <w:pStyle w:val="3"/>
        <w:spacing w:before="120" w:after="120" w:line="400" w:lineRule="exact"/>
        <w:jc w:val="center"/>
        <w:rPr>
          <w:rFonts w:hint="eastAsia" w:ascii="宋体" w:hAnsi="宋体" w:eastAsia="宋体" w:cs="宋体"/>
          <w:b w:val="0"/>
          <w:bCs w:val="0"/>
          <w:color w:val="000000"/>
          <w:sz w:val="32"/>
        </w:rPr>
      </w:pPr>
      <w:r>
        <w:rPr>
          <w:rFonts w:hint="eastAsia" w:ascii="宋体" w:hAnsi="宋体" w:eastAsia="宋体" w:cs="宋体"/>
          <w:b w:val="0"/>
          <w:bCs w:val="0"/>
          <w:color w:val="000000"/>
          <w:sz w:val="32"/>
        </w:rPr>
        <w:t>第</w:t>
      </w:r>
      <w:r>
        <w:rPr>
          <w:rFonts w:hint="eastAsia" w:ascii="宋体" w:hAnsi="宋体" w:cs="宋体"/>
          <w:b w:val="0"/>
          <w:bCs w:val="0"/>
          <w:color w:val="000000"/>
          <w:sz w:val="32"/>
          <w:lang w:val="en-US" w:eastAsia="zh-CN"/>
        </w:rPr>
        <w:t>三</w:t>
      </w:r>
      <w:r>
        <w:rPr>
          <w:rFonts w:hint="eastAsia" w:ascii="宋体" w:hAnsi="宋体" w:eastAsia="宋体" w:cs="宋体"/>
          <w:b w:val="0"/>
          <w:bCs w:val="0"/>
          <w:color w:val="000000"/>
          <w:sz w:val="32"/>
        </w:rPr>
        <w:t>部分 合同</w:t>
      </w: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r>
        <w:rPr>
          <w:rFonts w:hint="eastAsia" w:ascii="宋体" w:hAnsi="宋体" w:eastAsia="宋体" w:cs="宋体"/>
          <w:sz w:val="44"/>
          <w:szCs w:val="28"/>
        </w:rPr>
        <w:t>深圳市龙岗区平湖街道凤凰工业园项目</w:t>
      </w:r>
    </w:p>
    <w:p>
      <w:pPr>
        <w:widowControl/>
        <w:jc w:val="center"/>
        <w:rPr>
          <w:rFonts w:hint="default" w:ascii="宋体" w:hAnsi="宋体" w:eastAsia="宋体" w:cs="宋体"/>
          <w:sz w:val="44"/>
          <w:szCs w:val="28"/>
          <w:lang w:val="en-US" w:eastAsia="zh-CN"/>
        </w:rPr>
      </w:pPr>
      <w:r>
        <w:rPr>
          <w:rFonts w:hint="eastAsia" w:ascii="宋体" w:hAnsi="宋体" w:cs="宋体"/>
          <w:sz w:val="44"/>
          <w:szCs w:val="28"/>
          <w:lang w:val="en-US" w:eastAsia="zh-CN"/>
        </w:rPr>
        <w:t>合作开发协议</w:t>
      </w:r>
    </w:p>
    <w:p>
      <w:pPr>
        <w:rPr>
          <w:rFonts w:hint="eastAsia" w:ascii="宋体" w:hAnsi="宋体" w:eastAsia="宋体" w:cs="宋体"/>
          <w:b/>
          <w:bCs/>
        </w:rPr>
      </w:pPr>
    </w:p>
    <w:p>
      <w:pPr>
        <w:rPr>
          <w:rFonts w:hint="eastAsia" w:ascii="宋体" w:hAnsi="宋体" w:eastAsia="宋体" w:cs="宋体"/>
        </w:rPr>
      </w:pPr>
    </w:p>
    <w:p>
      <w:pPr>
        <w:widowControl/>
        <w:jc w:val="center"/>
        <w:rPr>
          <w:rFonts w:hint="eastAsia" w:ascii="宋体" w:hAnsi="宋体" w:eastAsia="宋体" w:cs="宋体"/>
          <w:b/>
          <w:sz w:val="48"/>
          <w:szCs w:val="28"/>
        </w:rPr>
      </w:pPr>
    </w:p>
    <w:p>
      <w:pPr>
        <w:widowControl/>
        <w:jc w:val="center"/>
        <w:rPr>
          <w:rFonts w:hint="eastAsia" w:ascii="宋体" w:hAnsi="宋体" w:eastAsia="宋体" w:cs="宋体"/>
          <w:b/>
          <w:sz w:val="48"/>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both"/>
        <w:rPr>
          <w:rFonts w:hint="eastAsia" w:ascii="宋体" w:hAnsi="宋体" w:eastAsia="宋体" w:cs="宋体"/>
          <w:sz w:val="44"/>
          <w:szCs w:val="28"/>
        </w:rPr>
      </w:pP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44"/>
          <w:szCs w:val="28"/>
        </w:rPr>
      </w:pPr>
      <w:r>
        <w:rPr>
          <w:rFonts w:hint="eastAsia" w:ascii="宋体" w:hAnsi="宋体" w:eastAsia="宋体" w:cs="宋体"/>
          <w:sz w:val="44"/>
          <w:szCs w:val="28"/>
        </w:rPr>
        <w:t>深圳市新南股份合作公司</w:t>
      </w:r>
    </w:p>
    <w:p>
      <w:pPr>
        <w:widowControl/>
        <w:jc w:val="center"/>
        <w:rPr>
          <w:rFonts w:hint="eastAsia" w:ascii="宋体" w:hAnsi="宋体" w:eastAsia="宋体" w:cs="宋体"/>
          <w:sz w:val="44"/>
          <w:szCs w:val="28"/>
        </w:rPr>
      </w:pPr>
    </w:p>
    <w:p>
      <w:pPr>
        <w:widowControl/>
        <w:jc w:val="center"/>
        <w:rPr>
          <w:rFonts w:hint="eastAsia" w:ascii="宋体" w:hAnsi="宋体" w:eastAsia="宋体" w:cs="宋体"/>
          <w:sz w:val="28"/>
          <w:szCs w:val="28"/>
        </w:rPr>
      </w:pPr>
      <w:r>
        <w:rPr>
          <w:rFonts w:hint="eastAsia" w:ascii="宋体" w:hAnsi="宋体" w:eastAsia="宋体" w:cs="宋体"/>
          <w:sz w:val="44"/>
          <w:szCs w:val="28"/>
        </w:rPr>
        <w:t>2022年 月</w:t>
      </w:r>
      <w:r>
        <w:rPr>
          <w:rFonts w:hint="eastAsia" w:ascii="宋体" w:hAnsi="宋体" w:eastAsia="宋体" w:cs="宋体"/>
          <w:sz w:val="28"/>
          <w:szCs w:val="28"/>
        </w:rPr>
        <w:br w:type="page"/>
      </w:r>
    </w:p>
    <w:p>
      <w:pPr>
        <w:pStyle w:val="21"/>
        <w:keepNext/>
        <w:keepLines/>
        <w:adjustRightInd w:val="0"/>
        <w:spacing w:after="120" w:line="360" w:lineRule="auto"/>
        <w:jc w:val="center"/>
        <w:rPr>
          <w:rFonts w:hint="eastAsia" w:ascii="宋体" w:hAnsi="宋体" w:eastAsia="宋体" w:cs="宋体"/>
          <w:color w:val="000000"/>
          <w:sz w:val="40"/>
          <w:szCs w:val="40"/>
          <w:lang w:val="en-US" w:eastAsia="zh-CN"/>
        </w:rPr>
      </w:pPr>
      <w:r>
        <w:rPr>
          <w:rFonts w:hint="eastAsia" w:ascii="宋体" w:hAnsi="宋体" w:eastAsia="宋体" w:cs="宋体"/>
          <w:color w:val="000000"/>
          <w:sz w:val="40"/>
          <w:szCs w:val="40"/>
          <w:lang w:val="en-US" w:eastAsia="zh-CN"/>
        </w:rPr>
        <w:t>编制说明</w:t>
      </w:r>
    </w:p>
    <w:p>
      <w:pPr>
        <w:pStyle w:val="21"/>
        <w:keepNext/>
        <w:keepLines/>
        <w:adjustRightInd w:val="0"/>
        <w:spacing w:line="360" w:lineRule="auto"/>
        <w:jc w:val="center"/>
        <w:rPr>
          <w:rFonts w:hint="eastAsia" w:ascii="宋体" w:hAnsi="宋体" w:eastAsia="宋体" w:cs="宋体"/>
          <w:color w:val="000000"/>
          <w:sz w:val="28"/>
          <w:szCs w:val="28"/>
          <w:lang w:val="en-US" w:eastAsia="zh-CN"/>
        </w:rPr>
      </w:pPr>
    </w:p>
    <w:p>
      <w:pPr>
        <w:pStyle w:val="21"/>
        <w:keepNext/>
        <w:keepLines/>
        <w:numPr>
          <w:ilvl w:val="0"/>
          <w:numId w:val="1"/>
        </w:numPr>
        <w:adjustRightInd w:val="0"/>
        <w:spacing w:after="0" w:line="360" w:lineRule="auto"/>
        <w:ind w:firstLine="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本合同根据龙岗区国资局发布的关于集体土地合作开发项目合作开发协议参考文本编制。</w:t>
      </w:r>
    </w:p>
    <w:p>
      <w:pPr>
        <w:pStyle w:val="21"/>
        <w:keepNext/>
        <w:keepLines/>
        <w:adjustRightInd w:val="0"/>
        <w:spacing w:line="360" w:lineRule="auto"/>
        <w:rPr>
          <w:rFonts w:hint="eastAsia" w:ascii="宋体" w:hAnsi="宋体" w:eastAsia="宋体" w:cs="宋体"/>
          <w:color w:val="000000"/>
          <w:sz w:val="28"/>
          <w:szCs w:val="28"/>
          <w:lang w:val="en-US" w:eastAsia="zh-CN"/>
        </w:rPr>
      </w:pPr>
    </w:p>
    <w:p>
      <w:pPr>
        <w:pStyle w:val="21"/>
        <w:keepNext/>
        <w:keepLines/>
        <w:numPr>
          <w:ilvl w:val="0"/>
          <w:numId w:val="1"/>
        </w:numPr>
        <w:adjustRightInd w:val="0"/>
        <w:spacing w:after="0" w:line="360" w:lineRule="auto"/>
        <w:ind w:firstLine="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本合同根据凤凰工业园城市更新项目招商方案制定，并在招商文件中向通过资格审查的竞投人送达。</w:t>
      </w:r>
    </w:p>
    <w:p>
      <w:pPr>
        <w:pStyle w:val="21"/>
        <w:keepNext/>
        <w:keepLines/>
        <w:adjustRightInd w:val="0"/>
        <w:spacing w:line="360" w:lineRule="auto"/>
        <w:rPr>
          <w:rFonts w:hint="eastAsia" w:ascii="宋体" w:hAnsi="宋体" w:eastAsia="宋体" w:cs="宋体"/>
          <w:color w:val="000000"/>
          <w:sz w:val="28"/>
          <w:szCs w:val="28"/>
          <w:lang w:val="en-US" w:eastAsia="zh-CN"/>
        </w:rPr>
      </w:pPr>
    </w:p>
    <w:p>
      <w:pPr>
        <w:pStyle w:val="21"/>
        <w:keepNext/>
        <w:keepLines/>
        <w:adjustRightInd w:val="0"/>
        <w:spacing w:line="360" w:lineRule="auto"/>
        <w:jc w:val="center"/>
        <w:rPr>
          <w:rFonts w:hint="eastAsia" w:ascii="宋体" w:hAnsi="宋体" w:eastAsia="宋体" w:cs="宋体"/>
          <w:color w:val="000000"/>
          <w:sz w:val="28"/>
          <w:szCs w:val="28"/>
          <w:lang w:val="en-US" w:eastAsia="zh-CN"/>
        </w:rPr>
        <w:sectPr>
          <w:footerReference r:id="rId3" w:type="default"/>
          <w:pgSz w:w="11906" w:h="16838"/>
          <w:pgMar w:top="1440" w:right="1406" w:bottom="1440" w:left="1519" w:header="851" w:footer="992" w:gutter="0"/>
          <w:cols w:space="720" w:num="1"/>
          <w:docGrid w:type="lines" w:linePitch="312" w:charSpace="0"/>
        </w:sectPr>
      </w:pPr>
      <w:r>
        <w:rPr>
          <w:rFonts w:hint="eastAsia" w:ascii="宋体" w:hAnsi="宋体" w:eastAsia="宋体" w:cs="宋体"/>
          <w:color w:val="000000"/>
          <w:sz w:val="28"/>
          <w:szCs w:val="28"/>
          <w:lang w:val="en-US" w:eastAsia="zh-CN"/>
        </w:rPr>
        <w:t>三、本合同为项目拟签约合同范本，具体内容尚须根据项目招商结果进行确定，合同双方可以根据项目谈判情况，对范本中的具体条款进行增删、调整，但合同内容不得背离公开招商成交条件。</w:t>
      </w:r>
    </w:p>
    <w:p>
      <w:pPr>
        <w:pStyle w:val="21"/>
        <w:keepNext/>
        <w:keepLines/>
        <w:spacing w:after="120" w:line="400" w:lineRule="exact"/>
        <w:ind w:firstLine="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深圳市</w:t>
      </w:r>
      <w:bookmarkStart w:id="183" w:name="bookmark3"/>
      <w:r>
        <w:rPr>
          <w:rFonts w:hint="eastAsia" w:ascii="宋体" w:hAnsi="宋体" w:eastAsia="宋体" w:cs="宋体"/>
          <w:color w:val="auto"/>
          <w:kern w:val="2"/>
          <w:sz w:val="24"/>
          <w:szCs w:val="24"/>
          <w:lang w:val="en-US" w:eastAsia="zh-CN" w:bidi="ar-SA"/>
        </w:rPr>
        <w:t>龙岗区平湖街道凤凰工业园</w:t>
      </w:r>
    </w:p>
    <w:p>
      <w:pPr>
        <w:pStyle w:val="21"/>
        <w:keepNext/>
        <w:keepLines/>
        <w:spacing w:after="120" w:line="400" w:lineRule="exact"/>
        <w:ind w:firstLine="0"/>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城市更新单元合作开发协议书</w:t>
      </w:r>
      <w:bookmarkEnd w:id="183"/>
      <w:r>
        <w:rPr>
          <w:rFonts w:hint="eastAsia" w:ascii="宋体" w:hAnsi="宋体" w:eastAsia="宋体" w:cs="宋体"/>
          <w:color w:val="auto"/>
          <w:kern w:val="2"/>
          <w:sz w:val="24"/>
          <w:szCs w:val="24"/>
          <w:lang w:val="en-US" w:eastAsia="zh-CN" w:bidi="ar-SA"/>
        </w:rPr>
        <w:t>（模板）</w:t>
      </w:r>
    </w:p>
    <w:p>
      <w:pPr>
        <w:pStyle w:val="21"/>
        <w:keepNext/>
        <w:keepLines/>
        <w:spacing w:after="120" w:line="400" w:lineRule="exact"/>
        <w:ind w:firstLine="0"/>
        <w:jc w:val="righ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协议编号：         号</w:t>
      </w:r>
    </w:p>
    <w:p>
      <w:pPr>
        <w:pStyle w:val="21"/>
        <w:keepNext/>
        <w:keepLines/>
        <w:spacing w:after="120" w:line="400" w:lineRule="exact"/>
        <w:ind w:firstLine="0"/>
        <w:jc w:val="right"/>
        <w:rPr>
          <w:rFonts w:hint="eastAsia" w:ascii="宋体" w:hAnsi="宋体" w:eastAsia="宋体" w:cs="宋体"/>
          <w:color w:val="auto"/>
          <w:kern w:val="2"/>
          <w:sz w:val="24"/>
          <w:szCs w:val="24"/>
          <w:lang w:val="en-US" w:eastAsia="zh-CN" w:bidi="ar-SA"/>
        </w:rPr>
      </w:pPr>
    </w:p>
    <w:p>
      <w:pPr>
        <w:pStyle w:val="21"/>
        <w:keepNext/>
        <w:keepLines/>
        <w:spacing w:after="120" w:line="400" w:lineRule="exact"/>
        <w:ind w:firstLine="0"/>
        <w:jc w:val="right"/>
        <w:rPr>
          <w:rFonts w:hint="eastAsia" w:ascii="宋体" w:hAnsi="宋体" w:eastAsia="宋体" w:cs="宋体"/>
          <w:color w:val="auto"/>
          <w:kern w:val="2"/>
          <w:sz w:val="24"/>
          <w:szCs w:val="24"/>
          <w:lang w:val="en-US" w:eastAsia="zh-CN" w:bidi="ar-SA"/>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甲方：</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深圳市新南股份合作公司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地址：</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深圳市龙岗区平湖街道新南社区新南综合大楼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法定代表人：</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刘伟红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电话：</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传真：</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tc>
      </w:tr>
    </w:tbl>
    <w:p>
      <w:pPr>
        <w:pStyle w:val="22"/>
        <w:spacing w:line="400" w:lineRule="exact"/>
        <w:rPr>
          <w:rFonts w:hint="eastAsia" w:ascii="宋体" w:hAnsi="宋体" w:eastAsia="宋体" w:cs="宋体"/>
          <w:color w:val="auto"/>
          <w:kern w:val="2"/>
          <w:sz w:val="24"/>
          <w:szCs w:val="24"/>
          <w:lang w:val="en-US" w:eastAsia="zh-CN" w:bidi="ar-SA"/>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1"/>
        <w:gridCol w:w="6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乙方：</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地址：</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法定代表人：</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电话：</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1" w:type="dxa"/>
            <w:tcBorders>
              <w:tl2br w:val="nil"/>
              <w:tr2bl w:val="nil"/>
            </w:tcBorders>
            <w:noWrap w:val="0"/>
            <w:vAlign w:val="top"/>
          </w:tcPr>
          <w:p>
            <w:pPr>
              <w:pStyle w:val="22"/>
              <w:spacing w:line="400" w:lineRule="exact"/>
              <w:jc w:val="distribute"/>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传真：</w:t>
            </w:r>
          </w:p>
        </w:tc>
        <w:tc>
          <w:tcPr>
            <w:tcW w:w="6391" w:type="dxa"/>
            <w:tcBorders>
              <w:tl2br w:val="nil"/>
              <w:tr2bl w:val="nil"/>
            </w:tcBorders>
            <w:noWrap w:val="0"/>
            <w:vAlign w:val="top"/>
          </w:tcPr>
          <w:p>
            <w:pPr>
              <w:pStyle w:val="22"/>
              <w:spacing w:line="400" w:lineRule="exac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w:t>
            </w:r>
          </w:p>
        </w:tc>
      </w:tr>
    </w:tbl>
    <w:p>
      <w:pPr>
        <w:pStyle w:val="21"/>
        <w:keepNext/>
        <w:keepLines/>
        <w:spacing w:after="120" w:line="400" w:lineRule="exact"/>
        <w:ind w:firstLine="0"/>
        <w:rPr>
          <w:rFonts w:hint="eastAsia" w:ascii="宋体" w:hAnsi="宋体" w:eastAsia="宋体" w:cs="宋体"/>
          <w:color w:val="auto"/>
          <w:kern w:val="2"/>
          <w:sz w:val="24"/>
          <w:szCs w:val="24"/>
          <w:lang w:val="en-US" w:eastAsia="zh-CN" w:bidi="ar-SA"/>
        </w:rPr>
      </w:pPr>
    </w:p>
    <w:p>
      <w:pPr>
        <w:pStyle w:val="21"/>
        <w:keepNext/>
        <w:keepLines/>
        <w:spacing w:after="120" w:line="400" w:lineRule="exact"/>
        <w:ind w:firstLine="0"/>
        <w:rPr>
          <w:rFonts w:hint="eastAsia" w:ascii="宋体" w:hAnsi="宋体" w:eastAsia="宋体" w:cs="宋体"/>
          <w:color w:val="auto"/>
          <w:kern w:val="2"/>
          <w:sz w:val="24"/>
          <w:szCs w:val="24"/>
          <w:lang w:val="en-US" w:eastAsia="zh-CN" w:bidi="ar-SA"/>
        </w:rPr>
      </w:pPr>
    </w:p>
    <w:p>
      <w:pPr>
        <w:spacing w:beforeLines="0" w:after="12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为贯彻深圳市人民政府关于城市更新的政策精神，进一步完善片区的城市功能，优化产业结构，改善人居环境，推进土地的节约集约利用，现根据《中华人民共和国土地管理法》、《中华人民共和国城市房地产管理法》、《中华人民共和国民法典》、《深圳市城市更新办法》及《深圳市城市更新办法实施细则》、《龙岗区集体产权交易监督管理办法》（深龙府办规〔2020〕3号）、《龙岗区社区股份合作公司集体用地开发和交易监管实施细则》（深龙府办规〔2022〕2号等相关法律法规、政策规定，甲乙本着平等互利、统一规划的原则，经友好协商，就甲方位于深圳市龙岗区 平湖街道凤凰工业园城市更新单元 （以下简称“项目”或者“合作项目”）范围内的土地、建筑物、非农建设用地指标等集体资产合作开发事宜订立如下协议，双方共同遵守履行。</w:t>
      </w:r>
    </w:p>
    <w:p>
      <w:pPr>
        <w:widowControl/>
        <w:jc w:val="left"/>
        <w:rPr>
          <w:rFonts w:hint="eastAsia" w:ascii="宋体" w:hAnsi="宋体" w:eastAsia="宋体" w:cs="宋体"/>
          <w:sz w:val="28"/>
          <w:szCs w:val="28"/>
        </w:rPr>
      </w:pPr>
    </w:p>
    <w:p>
      <w:pPr>
        <w:spacing w:line="540" w:lineRule="exact"/>
        <w:jc w:val="center"/>
        <w:rPr>
          <w:rFonts w:hint="eastAsia"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sz w:val="28"/>
          <w:szCs w:val="28"/>
        </w:rPr>
        <w:t>第一条 本项目基本情况</w:t>
      </w:r>
    </w:p>
    <w:p>
      <w:pPr>
        <w:spacing w:line="540" w:lineRule="exact"/>
        <w:jc w:val="center"/>
        <w:rPr>
          <w:rFonts w:hint="eastAsia" w:ascii="宋体" w:hAnsi="宋体" w:eastAsia="宋体" w:cs="宋体"/>
          <w:b/>
          <w:bCs/>
          <w:sz w:val="28"/>
          <w:szCs w:val="28"/>
        </w:rPr>
      </w:pP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1.1本项目位置：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本项目位于深圳市龙岗区平湖街道凤凰大道旁。</w:t>
      </w: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1.2规划指标：</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更新范围用地面积为138,999.8㎡，拆除范围用地面积为138,642.4㎡，开发建设用地面积为79,538.4㎡，容积率为6.1，规划容积487,970㎡，其中：住宅426,810㎡（含出售型安居商品房29,877㎡），商业、办公及旅馆业建筑39,440㎡（含母婴室80㎡，社区菜市场500㎡），公共配套设施（含地下）21,720 ㎡（含12班幼儿园3200㎡、占地面积3600㎡，9班幼儿园2400㎡、占地面积2700㎡，社区管理用房300㎡，社区警务室50㎡，便民服务站（社区服务中心）400㎡，党群服务中心650㎡，文化活动室2000㎡，社区健康服务中心1000㎡，社区老年人日间照料中心1500㎡，社区级公共配套用房2630㎡，综合车站6000㎡，公共充电站1100㎡，邮政所100㎡，小型垃圾转运站200㎡，再生资源回收站60㎡，公共厕所120㎡，环卫工人作息房10㎡）。另配建社区体育活动场地占地面积6000 平方米。物业服务用房按照《深圳市经济特区物业管理条例》予以核定。</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上述规划指标经深圳市城市规划委员会建筑与环境艺术委员会2021年第9次会议审议通过，并最终由《龙岗区人民政府关于&lt;龙岗区平湖街道凤凰工业园城市更新单元规划&gt;审批情况的通知》(深龙府函[2021]24号，以下简称“专规审批通知”)发布。</w:t>
      </w: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 xml:space="preserve">    1.3本项目更新范围用地面积为138,999.8平方米，拆除范围用地面积为138,642.4平方米，包括国有已办理房地产权登记或已取得处理意见书的用地31,922.92平方米（与城中村用地重叠22,950.43平方米）、未完善征转手续用地106,719.48平方米。其中，属于甲方所有的集体资产包括</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1.3.1集体土地用地面积总计为106719.48平方米；</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1.3.2现状厂房及配套66894.617平方米；</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1.3.3非农建设用地指标面积79538.4平方米。</w:t>
      </w:r>
    </w:p>
    <w:p>
      <w:pPr>
        <w:spacing w:line="540" w:lineRule="exact"/>
        <w:jc w:val="center"/>
        <w:rPr>
          <w:rFonts w:hint="eastAsia" w:ascii="宋体" w:hAnsi="宋体" w:eastAsia="宋体" w:cs="宋体"/>
          <w:b/>
          <w:bCs/>
          <w:sz w:val="24"/>
          <w:szCs w:val="24"/>
        </w:rPr>
      </w:pPr>
    </w:p>
    <w:p>
      <w:pPr>
        <w:spacing w:line="540" w:lineRule="exact"/>
        <w:jc w:val="center"/>
        <w:rPr>
          <w:rFonts w:hint="eastAsia" w:ascii="宋体" w:hAnsi="宋体" w:eastAsia="宋体" w:cs="宋体"/>
          <w:b/>
          <w:bCs/>
          <w:sz w:val="28"/>
          <w:szCs w:val="28"/>
        </w:rPr>
      </w:pPr>
      <w:r>
        <w:rPr>
          <w:rFonts w:hint="eastAsia" w:ascii="宋体" w:hAnsi="宋体" w:eastAsia="宋体" w:cs="宋体"/>
          <w:b/>
          <w:bCs/>
          <w:sz w:val="28"/>
          <w:szCs w:val="28"/>
        </w:rPr>
        <w:br w:type="page"/>
      </w:r>
      <w:r>
        <w:rPr>
          <w:rFonts w:hint="eastAsia" w:ascii="宋体" w:hAnsi="宋体" w:eastAsia="宋体" w:cs="宋体"/>
          <w:b/>
          <w:bCs/>
          <w:sz w:val="28"/>
          <w:szCs w:val="28"/>
        </w:rPr>
        <w:t>第二条 合作开发及补偿方式</w:t>
      </w:r>
    </w:p>
    <w:p>
      <w:pPr>
        <w:spacing w:line="540" w:lineRule="exact"/>
        <w:jc w:val="center"/>
        <w:rPr>
          <w:rFonts w:hint="eastAsia" w:ascii="宋体" w:hAnsi="宋体" w:eastAsia="宋体" w:cs="宋体"/>
          <w:b/>
          <w:bCs/>
          <w:sz w:val="28"/>
          <w:szCs w:val="28"/>
        </w:rPr>
      </w:pP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2.1甲方提供上述集体资产，获取相应的合作补偿；本项目改造开发建设过程中，甲方不承担出资义务，不参与具体开发管理等事务。乙方负责集体资产所涉及的清租事宜并承担相关费用，甲方予以配合。</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乙方作为本项目改造实施主体，负责本项目更新范围内包括甲方集体资产在内的土地、物业涉及的搬迁补偿工作，并承担相应费用。除甲方应取得的合作补偿及其他权利人物业涉及的搬迁补偿权益外，本项目的其他权益均归属于乙方所有。</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2.3乙方负责从项目搬迁谈判补偿、实施主体确认、用地规划许可证、土地使用权出让合同、设计、施工建设、竣工验收、入伙、办理不动产权证到项目开发建设完成整个过程的全部工作，甲方予以协助。</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2.4乙方是甲方通过深圳交易集团有限公司龙岗分公司公开招商选定的项目合作方，根据深圳交易集团有限公司龙岗分公司发出的《成交凭证》,甲方在本项目的合作所获得的补偿如下：</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2.4.1甲方总计应取得回迁物业总建筑面积为</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平方米，现金补偿</w:t>
      </w:r>
      <w:r>
        <w:rPr>
          <w:rFonts w:hint="eastAsia" w:ascii="宋体" w:hAnsi="宋体" w:eastAsia="宋体" w:cs="宋体"/>
          <w:sz w:val="24"/>
          <w:szCs w:val="24"/>
          <w:u w:val="single"/>
        </w:rPr>
        <w:t>（根据谈判结果填写）</w:t>
      </w:r>
      <w:r>
        <w:rPr>
          <w:rFonts w:hint="eastAsia" w:ascii="宋体" w:hAnsi="宋体" w:eastAsia="宋体" w:cs="宋体"/>
          <w:sz w:val="24"/>
          <w:szCs w:val="24"/>
        </w:rPr>
        <w:t>元，具体如下：</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2.4.1.1建筑面积及类型</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A、回迁商业建筑面积</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平方米，其中首层商业（临凤凰大道）</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平方米，首层商业（临规划一路）</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平方米，第二层</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B、回迁办公建筑面积</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C、回迁住宅面积</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平方米，回迁住宅优先在01地块安排，不足部分回迁在03地块。</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2.4.1.2现金补偿：货币补偿总额为人民币</w:t>
      </w:r>
      <w:r>
        <w:rPr>
          <w:rFonts w:hint="eastAsia" w:ascii="宋体" w:hAnsi="宋体" w:eastAsia="宋体" w:cs="宋体"/>
          <w:sz w:val="24"/>
          <w:szCs w:val="24"/>
          <w:u w:val="single"/>
        </w:rPr>
        <w:t>（根据谈判结果填写）</w:t>
      </w:r>
      <w:r>
        <w:rPr>
          <w:rFonts w:hint="eastAsia" w:ascii="宋体" w:hAnsi="宋体" w:eastAsia="宋体" w:cs="宋体"/>
          <w:sz w:val="24"/>
          <w:szCs w:val="24"/>
        </w:rPr>
        <w:t>元 （大写：人民币</w:t>
      </w:r>
      <w:r>
        <w:rPr>
          <w:rFonts w:hint="eastAsia" w:ascii="宋体" w:hAnsi="宋体" w:eastAsia="宋体" w:cs="宋体"/>
          <w:sz w:val="24"/>
          <w:szCs w:val="24"/>
          <w:u w:val="single"/>
        </w:rPr>
        <w:t>（根据谈判结果填写）</w:t>
      </w:r>
      <w:r>
        <w:rPr>
          <w:rFonts w:hint="eastAsia" w:ascii="宋体" w:hAnsi="宋体" w:eastAsia="宋体" w:cs="宋体"/>
          <w:sz w:val="24"/>
          <w:szCs w:val="24"/>
        </w:rPr>
        <w:t>元整。）</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2.4.1.3装修价值补偿：回迁的</w:t>
      </w:r>
      <w:r>
        <w:rPr>
          <w:rFonts w:hint="eastAsia" w:ascii="宋体" w:hAnsi="宋体" w:eastAsia="宋体" w:cs="宋体"/>
          <w:sz w:val="24"/>
          <w:szCs w:val="24"/>
          <w:u w:val="single"/>
        </w:rPr>
        <w:t>（根据谈判结果填写）</w:t>
      </w:r>
      <w:r>
        <w:rPr>
          <w:rFonts w:hint="eastAsia" w:ascii="宋体" w:hAnsi="宋体" w:eastAsia="宋体" w:cs="宋体"/>
          <w:sz w:val="24"/>
          <w:szCs w:val="24"/>
        </w:rPr>
        <w:t>平方米建筑面积住宅毛坯交付后，由乙方按照建筑面积2000元/m²的装修市场价值进行装修，装修价值合计</w:t>
      </w:r>
      <w:r>
        <w:rPr>
          <w:rFonts w:hint="eastAsia" w:ascii="宋体" w:hAnsi="宋体" w:eastAsia="宋体" w:cs="宋体"/>
          <w:sz w:val="24"/>
          <w:szCs w:val="24"/>
          <w:u w:val="single"/>
        </w:rPr>
        <w:t>（根据谈判结果填写）</w:t>
      </w:r>
      <w:r>
        <w:rPr>
          <w:rFonts w:hint="eastAsia" w:ascii="宋体" w:hAnsi="宋体" w:eastAsia="宋体" w:cs="宋体"/>
          <w:sz w:val="24"/>
          <w:szCs w:val="24"/>
        </w:rPr>
        <w:t>元，具体的装修标准及方案须提前征求甲方意见并取得甲方确认。</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2.4.2上述回迁物业是乙方对甲方的全部补偿，包括但不限于对本项目更新范围内甲方土地、道路、建筑物、构筑物、附属设施、非农建设用地指标、二次装修费、搬迁费</w:t>
      </w:r>
      <w:r>
        <w:rPr>
          <w:rFonts w:hint="eastAsia" w:ascii="宋体" w:hAnsi="宋体" w:eastAsia="宋体" w:cs="宋体"/>
          <w:color w:val="000000"/>
          <w:sz w:val="24"/>
          <w:szCs w:val="24"/>
        </w:rPr>
        <w:t>、停产停业损失</w:t>
      </w:r>
      <w:r>
        <w:rPr>
          <w:rFonts w:hint="eastAsia" w:ascii="宋体" w:hAnsi="宋体" w:eastAsia="宋体" w:cs="宋体"/>
          <w:sz w:val="24"/>
          <w:szCs w:val="24"/>
        </w:rPr>
        <w:t>等的补偿，甲方不得再以任何其他理由要求乙方额外增加任何形式的补偿。</w:t>
      </w:r>
    </w:p>
    <w:p>
      <w:pPr>
        <w:widowControl/>
        <w:shd w:val="clear" w:color="auto" w:fill="FFFFFF"/>
        <w:spacing w:beforeLines="0" w:afterLines="0" w:line="24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2.4.3若因专项规划调整导致可售建筑面积（包括回迁物业）减少的，甲方根据本协议约定应补偿的回迁物业不减少；若因专项规划调整导致可售建筑面积（包括回迁物业）增加的，则增加部分按照甲方根据本协议约定应补偿的物业总面积与可售总建筑面积（包括回迁物业）同比例分配给甲方。</w:t>
      </w:r>
    </w:p>
    <w:p>
      <w:pPr>
        <w:widowControl/>
        <w:shd w:val="clear" w:color="auto" w:fill="FFFFFF"/>
        <w:spacing w:beforeLines="0" w:afterLines="0" w:line="240" w:lineRule="auto"/>
        <w:ind w:firstLine="480" w:firstLineChars="200"/>
        <w:jc w:val="left"/>
        <w:rPr>
          <w:rFonts w:hint="eastAsia" w:ascii="宋体" w:hAnsi="宋体" w:eastAsia="宋体" w:cs="宋体"/>
          <w:kern w:val="0"/>
          <w:sz w:val="24"/>
          <w:szCs w:val="20"/>
        </w:rPr>
      </w:pPr>
      <w:r>
        <w:rPr>
          <w:rFonts w:hint="eastAsia" w:ascii="宋体" w:hAnsi="宋体" w:eastAsia="宋体" w:cs="宋体"/>
          <w:sz w:val="24"/>
          <w:szCs w:val="24"/>
        </w:rPr>
        <w:t>2.4.4甲方同意：本项目01地块规划的首层商业 (临凤凰大道)</w:t>
      </w:r>
      <w:r>
        <w:rPr>
          <w:rFonts w:hint="eastAsia" w:ascii="宋体" w:hAnsi="宋体" w:eastAsia="宋体" w:cs="宋体"/>
          <w:sz w:val="20"/>
          <w:szCs w:val="22"/>
        </w:rPr>
        <w:t xml:space="preserve"> 、</w:t>
      </w:r>
      <w:r>
        <w:rPr>
          <w:rFonts w:hint="eastAsia" w:ascii="宋体" w:hAnsi="宋体" w:eastAsia="宋体" w:cs="宋体"/>
          <w:sz w:val="24"/>
          <w:szCs w:val="24"/>
        </w:rPr>
        <w:t>首层商业(临规划一路)、第二层商业，在先行安置给深圳市力元吓股份合作公司、深圳市前进股份合作公司、深圳市伍屋围氹元股份合作公司、深圳市伍屋围九巷股份合作公司、深圳市元屋围股份合作公司、深圳市伍屋围北门坳股份合作公司、深圳市旧圩股份合作公司7家自然村股份公司后，剩余商业物业建筑面积全部回迁给甲方；项目 01地块规划的办公物业全部回迁给甲方；项目01地块规划的住宅物业全部回迁给甲方后，如建筑面积无法满足甲方上述应回迁住宅需求的，剩余建筑面积在03地块规划的住宅进行安置。上述各类型各楼层回迁物业面积差额部分，双方根据3.4条约定的“回迁物业建筑面积差异的结算”标准执行。</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2.4.5回迁物业安置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2.4.5.1甲方回迁商业安置在本项目01地规划的三层商业物业内，该商业物业为双首层设计，共三层，回迁商业物业所在楼层及具体位置，待本项目施工图经批准并完成施工图查丈后甲方与乙方商定，另行签回迁商业选房确认书。</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2.4.5.2甲方回迁办公物业安置在本项目01地块规划的办公楼宇，按照“整栋回迁”的要求，待本项目施工图经批准并完成施工图查丈后，与乙方另行签署回迁办公房选房确认书。</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2.4.5.3甲方回迁住宅物业安置在本项目01、03地块规划的住宅物业范围内，其中01地块住宅按照“全部回迁”的要求，03地块住宅按照“整层且连续楼层”的要求，待本项目施工图经批准并完成施工图查丈后，与乙方另行签署回迁住宅选房确认书。</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2.5本项目更新范围内除甲方集体资产之外，其他权利人物业的</w:t>
      </w: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补偿由乙方自行和相关权利人协商，甲方不得要求从中获取任何收益。</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2.6本项目更新范围内停车位由乙方经营、管理、使用和维护，并委托物业服务企业统一进行管理，向业主提供车辆停放服务，并按照公示的车辆停放服务收费标准收取停车服务费用，停车场收益按《深圳经济特区物业管理条例》规定使用。甲方若需在项目内设立固定办公场所的，则涉及甲方公务车辆以及从事回迁物业管理的人员车辆免收停车费。</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2.7本项目回迁物业交付使用后由乙方委托物业服务企业统一进行前期物业管理。甲方对物业管理要求等内容有权提出合理化建议，对甲方提出的合理化意见建议，乙方应予以采纳。业主委员会成立后，有权根据相关政策规定，自行选择物业服务企业进行管理。甲方回迁物业所涉及的物业管理费、物业专项维修资金、水电费等由甲方自行承担。</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2.8乙方为本项目非意向合作方的，自本协议签订之日起，甲方应于本协议签订之日起一个月内将全部集体现状物业移交给乙方，双方应共同制定、确认集体现状物业移交书和移交清单，双方在移交书上签名盖章后，视为集体资产(含甲方在本项目范围内全部土地权益)交接工作全部完成，但甲方集体现状物业搬迁过渡期的补偿费用应自签订合作开发协议之日起计算。</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乙方为本项目意向合作方的，双方确认，甲方已将全部集体现状  物业移交给乙方并办理了交接手续，甲方集体现状物业搬迁过渡期间  的补偿费用自签订合作开发协议之日起计算。</w:t>
      </w:r>
    </w:p>
    <w:p>
      <w:pPr>
        <w:spacing w:beforeLines="0" w:afterLines="0" w:line="24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2.9</w:t>
      </w:r>
      <w:r>
        <w:rPr>
          <w:rFonts w:hint="eastAsia" w:ascii="宋体" w:hAnsi="宋体" w:eastAsia="宋体" w:cs="宋体"/>
          <w:color w:val="000000"/>
          <w:sz w:val="24"/>
          <w:szCs w:val="24"/>
        </w:rPr>
        <w:t>本项目履约保证金为人民币5000万元。</w:t>
      </w:r>
    </w:p>
    <w:p>
      <w:pPr>
        <w:spacing w:beforeLines="0" w:afterLines="0" w:line="24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如乙方为本项目意向合作方的，其前期交纳给甲方4620万元及深圳市力元吓股份合作公司380万元的意向保证金，合计5000万元合作意向保证金自动转为本项目履约保证金（甲方4620万元、深圳市力元吓股份合作公司380万元）。其交纳的交易保证金由交易集团在取得《成交凭证》后五个工作日内全额原路无息退回给乙方。</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如乙方为非意向合作方的，乙方交纳的交易保证金人民币5000万元（大写：伍仟万元整）由交易集团在签订合作开发协议后5个工作日内划转至甲方、深圳市力元吓股份合作公司指定账户作为履约保证金（甲方4620万元、深圳市力元吓股份合作公司380万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该履约保证金在甲方取得回迁物业的不动产权证书之日起7日内，由甲方及深圳市力元吓股份合作公司无息退还。其中，甲方应无息退还乙方履约保证金4620万元（大写：肆仟陆佰贰拾万元整）。</w:t>
      </w:r>
    </w:p>
    <w:p>
      <w:pPr>
        <w:spacing w:line="540" w:lineRule="exact"/>
        <w:jc w:val="center"/>
        <w:rPr>
          <w:rFonts w:hint="eastAsia" w:ascii="宋体" w:hAnsi="宋体" w:eastAsia="宋体" w:cs="宋体"/>
          <w:b/>
          <w:sz w:val="28"/>
          <w:szCs w:val="28"/>
        </w:rPr>
      </w:pPr>
    </w:p>
    <w:p>
      <w:pPr>
        <w:spacing w:line="540" w:lineRule="exact"/>
        <w:jc w:val="center"/>
        <w:rPr>
          <w:rFonts w:hint="eastAsia" w:ascii="宋体" w:hAnsi="宋体" w:eastAsia="宋体" w:cs="宋体"/>
          <w:b/>
          <w:sz w:val="24"/>
          <w:szCs w:val="24"/>
        </w:rPr>
      </w:pPr>
      <w:r>
        <w:rPr>
          <w:rFonts w:hint="eastAsia" w:ascii="宋体" w:hAnsi="宋体" w:eastAsia="宋体" w:cs="宋体"/>
          <w:b/>
          <w:sz w:val="24"/>
          <w:szCs w:val="24"/>
        </w:rPr>
        <w:br w:type="page"/>
      </w:r>
      <w:r>
        <w:rPr>
          <w:rFonts w:hint="eastAsia" w:ascii="宋体" w:hAnsi="宋体" w:eastAsia="宋体" w:cs="宋体"/>
          <w:b/>
          <w:sz w:val="24"/>
          <w:szCs w:val="24"/>
        </w:rPr>
        <w:t>第三条 回迁物业交付和搬迁过渡补偿费用支付</w:t>
      </w:r>
    </w:p>
    <w:p>
      <w:pPr>
        <w:spacing w:line="540" w:lineRule="exact"/>
        <w:ind w:firstLine="480" w:firstLineChars="200"/>
        <w:rPr>
          <w:rFonts w:hint="eastAsia" w:ascii="宋体" w:hAnsi="宋体" w:eastAsia="宋体" w:cs="宋体"/>
          <w:sz w:val="24"/>
          <w:szCs w:val="24"/>
        </w:rPr>
      </w:pP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回迁物业交付标准：商业、办公物业按毛坯房交付，公共部分带装修交付，住宅物业按建筑面积2000元/㎡的装修市场价值进行装修交付，并经甲方查验确认合格后接收。具体装修标准及方案由双方另行协商确定。</w:t>
      </w:r>
      <w:r>
        <w:rPr>
          <w:rFonts w:hint="eastAsia" w:ascii="宋体" w:hAnsi="宋体" w:eastAsia="宋体" w:cs="宋体"/>
          <w:color w:val="000000"/>
          <w:sz w:val="24"/>
          <w:szCs w:val="24"/>
        </w:rPr>
        <w:t>乙方应确保项目规划设计符合相关规范，建设质量符合国家标准。甲方回迁物业的建筑设计方案、建筑质量等必须与整个项目其他同用途物业相一致，不能区别对待。</w:t>
      </w:r>
      <w:r>
        <w:rPr>
          <w:rFonts w:hint="eastAsia" w:ascii="宋体" w:hAnsi="宋体" w:eastAsia="宋体" w:cs="宋体"/>
          <w:sz w:val="24"/>
          <w:szCs w:val="24"/>
        </w:rPr>
        <w:t>涉及甲方回迁地块及回迁物业的建筑设计方案，乙方须提前征询甲方意见，并得到甲方确认；乙方对甲方提出的合理意见建议在条件允许的前提下予以采纳。</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3.2回迁物业交付时间：乙方需在本项目回迁物业所在地块取得施工许可证之日起</w:t>
      </w:r>
      <w:r>
        <w:rPr>
          <w:rFonts w:hint="eastAsia" w:ascii="宋体" w:hAnsi="宋体" w:eastAsia="宋体" w:cs="宋体"/>
          <w:sz w:val="24"/>
          <w:szCs w:val="24"/>
          <w:u w:val="single"/>
        </w:rPr>
        <w:t>48</w:t>
      </w:r>
      <w:r>
        <w:rPr>
          <w:rFonts w:hint="eastAsia" w:ascii="宋体" w:hAnsi="宋体" w:eastAsia="宋体" w:cs="宋体"/>
          <w:sz w:val="24"/>
          <w:szCs w:val="24"/>
        </w:rPr>
        <w:t>个月内完成竣工备案并向甲方交付回迁物业。乙方应自获得城市更新主管部门核发的项目实施主体确认文件之日起36个月内取得施工许可证。竣工验收完成后，若甲方未能在乙方书面通知的入伙时间内办理入伙手续的，视为乙方已将回迁物业交付给甲方。</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3.3回迁物业的办证：回迁物业产权性质为市场商品房，乙方负责办理（红本）不动产权证至甲方名下。回迁物业原则上按照评估机构出具的建造成本价价格申报产权登记，住宅类回迁物业，届时甲方根据集体物业的经营特点及相关政策规定与乙方商定（书面确定）产权登记价格。乙方应在回迁物业交付之日起12个月内为甲方办理回迁物业的不动产权证，甲方提供相应配合。甲方应回迁建筑面积部分涉及的所有办证税费</w:t>
      </w:r>
      <w:r>
        <w:rPr>
          <w:rFonts w:hint="eastAsia" w:ascii="宋体" w:hAnsi="宋体" w:eastAsia="宋体" w:cs="宋体"/>
          <w:color w:val="000000"/>
          <w:sz w:val="24"/>
          <w:szCs w:val="24"/>
        </w:rPr>
        <w:t>及相关费用</w:t>
      </w:r>
      <w:r>
        <w:rPr>
          <w:rFonts w:hint="eastAsia" w:ascii="宋体" w:hAnsi="宋体" w:eastAsia="宋体" w:cs="宋体"/>
          <w:sz w:val="24"/>
          <w:szCs w:val="24"/>
        </w:rPr>
        <w:t>由乙方承担，超出应回迁建筑面积部分的办证税费</w:t>
      </w:r>
      <w:r>
        <w:rPr>
          <w:rFonts w:hint="eastAsia" w:ascii="宋体" w:hAnsi="宋体" w:eastAsia="宋体" w:cs="宋体"/>
          <w:color w:val="000000"/>
          <w:sz w:val="24"/>
          <w:szCs w:val="24"/>
        </w:rPr>
        <w:t>及相关费用，由甲乙双方各自承担应缴纳的税费</w:t>
      </w:r>
      <w:r>
        <w:rPr>
          <w:rFonts w:hint="eastAsia" w:ascii="宋体" w:hAnsi="宋体" w:eastAsia="宋体" w:cs="宋体"/>
          <w:sz w:val="24"/>
          <w:szCs w:val="24"/>
        </w:rPr>
        <w:t>。</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3.4回迁物业建筑面积差异的结算：</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同用途的回迁安置物业按照“面积之差最小”的原则选房，因设计、施工、产权分割等因素，甲方选定的各用途回迁物业竣工测绘建筑面积与对应的该用途应取得回迁建筑面积有可能不完全一致，若出现建筑面积差异的，采用以下办法进行结算，乙方通知甲方办理回迁物业入伙手续之日起</w:t>
      </w:r>
      <w:r>
        <w:rPr>
          <w:rFonts w:hint="eastAsia" w:ascii="宋体" w:hAnsi="宋体" w:eastAsia="宋体" w:cs="宋体"/>
          <w:sz w:val="24"/>
          <w:szCs w:val="24"/>
          <w:u w:val="single"/>
        </w:rPr>
        <w:t xml:space="preserve">    </w:t>
      </w:r>
      <w:r>
        <w:rPr>
          <w:rFonts w:hint="eastAsia" w:ascii="宋体" w:hAnsi="宋体" w:eastAsia="宋体" w:cs="宋体"/>
          <w:sz w:val="24"/>
          <w:szCs w:val="24"/>
        </w:rPr>
        <w:t>个工作日内</w:t>
      </w:r>
      <w:r>
        <w:rPr>
          <w:rFonts w:hint="eastAsia" w:ascii="宋体" w:hAnsi="宋体" w:eastAsia="宋体" w:cs="宋体"/>
          <w:sz w:val="24"/>
          <w:szCs w:val="24"/>
          <w:u w:val="single"/>
        </w:rPr>
        <w:t>（根据谈判结果填写面积差异结算期限）</w:t>
      </w:r>
      <w:r>
        <w:rPr>
          <w:rFonts w:hint="eastAsia" w:ascii="宋体" w:hAnsi="宋体" w:eastAsia="宋体" w:cs="宋体"/>
          <w:sz w:val="24"/>
          <w:szCs w:val="24"/>
        </w:rPr>
        <w:t>，甲乙双方按本条约定的回迁物业面积差价结算办法相互结清面积差异补偿款、房价款：</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3.4.1当乙方提供给甲方的同用途回迁房屋竣工测绘总建筑面积  小于本协议约定应补偿给甲方的同用途房屋的回迁建筑面积，乙方应一次性支付面积差异补偿款给甲方，即面积差异补偿款=同用途回迁房屋的平均市场单价(下同)×同用途回迁房屋建筑面积差异值。</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3.4.2当乙方回迁给甲方的住宅房屋竣工测绘总建筑面积大于本协议约定的应补偿给甲方的同用途房屋的回迁建筑面积的，甲方应一次性支付面积差异房价款给乙方，房价款按回迁物业建筑面积差异值分段进行结算，其中：</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（1）建筑面积差异值在3‰ (含3‰)以内的，面积差异房价款=同用途回迁房屋的平均市场单价的九折×同用途回迁房屋建筑面积差异值；</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（2）建筑面积差异值在3‰以上(不含3‰)的部分，面积差异房价款=同用途回迁房屋的平均市场单价×同用途回迁房屋建筑面积差异值。</w:t>
      </w:r>
    </w:p>
    <w:p>
      <w:pPr>
        <w:spacing w:beforeLines="0" w:afterLines="0" w:line="24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3.4.3</w:t>
      </w:r>
      <w:r>
        <w:rPr>
          <w:rFonts w:hint="eastAsia" w:ascii="宋体" w:hAnsi="宋体" w:eastAsia="宋体" w:cs="宋体"/>
          <w:color w:val="000000"/>
          <w:sz w:val="24"/>
          <w:szCs w:val="24"/>
        </w:rPr>
        <w:t>商业、办公</w:t>
      </w:r>
      <w:r>
        <w:rPr>
          <w:rFonts w:hint="eastAsia" w:ascii="宋体" w:hAnsi="宋体" w:eastAsia="宋体" w:cs="宋体"/>
          <w:sz w:val="24"/>
          <w:szCs w:val="24"/>
        </w:rPr>
        <w:t>房屋竣工测绘总建筑面积</w:t>
      </w:r>
      <w:r>
        <w:rPr>
          <w:rFonts w:hint="eastAsia" w:ascii="宋体" w:hAnsi="宋体" w:eastAsia="宋体" w:cs="宋体"/>
          <w:color w:val="000000"/>
          <w:sz w:val="24"/>
          <w:szCs w:val="24"/>
        </w:rPr>
        <w:t>或分项计算的商业、办公面积大于</w:t>
      </w:r>
      <w:r>
        <w:rPr>
          <w:rFonts w:hint="eastAsia" w:ascii="宋体" w:hAnsi="宋体" w:eastAsia="宋体" w:cs="宋体"/>
          <w:sz w:val="24"/>
          <w:szCs w:val="24"/>
        </w:rPr>
        <w:t>本协议约定应补偿给甲方的同用途房屋的回迁建筑面积</w:t>
      </w:r>
      <w:r>
        <w:rPr>
          <w:rFonts w:hint="eastAsia" w:ascii="宋体" w:hAnsi="宋体" w:eastAsia="宋体" w:cs="宋体"/>
          <w:color w:val="000000"/>
          <w:sz w:val="24"/>
          <w:szCs w:val="24"/>
        </w:rPr>
        <w:t>或分项计算的回迁商业、回迁办公面积的，按以下方式进行面积结差：</w:t>
      </w:r>
    </w:p>
    <w:p>
      <w:pPr>
        <w:spacing w:beforeLines="0" w:afterLines="0"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（1）乙方在建筑设计、建筑施工报建时必须确保完成招商底价确定的18000平方米商业面积设计和建设，保障实际回迁商业面积不得低于18000平方米。</w:t>
      </w:r>
    </w:p>
    <w:p>
      <w:pPr>
        <w:spacing w:beforeLines="0" w:afterLines="0" w:line="24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为保障集体利益，若乙方实际交付的商业面积超过18000平方米的，乙方应按照“先商业后办公”的原则优先回迁商业物业给甲方，且同意按照每超过一平方米回迁商业面积，相应减少一平方米回迁办公物业面积的方式进行商业物业面积结差，甲方无须补偿乙方商业物业与办公物业之间的差价。</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color w:val="000000"/>
          <w:sz w:val="24"/>
          <w:szCs w:val="24"/>
        </w:rPr>
        <w:t>（3）交付的办公物业建筑面积大于应回迁的办公物业面积（指商业物业面积结差完成后的应回迁办公物业面积）的，差异值在3‰（含3‰）以内的，甲方应补偿乙方面积差异房价款=同用途回迁物业的平均市场单价×90%×回迁物业建筑面积差异值。建筑面积差异值在3‰（不含3‰）以上的部分，甲方应补偿乙方面积差异房价款=同用途回迁物业的平均市场单价×回迁物业建筑面积差异值。</w:t>
      </w:r>
    </w:p>
    <w:p>
      <w:pPr>
        <w:spacing w:beforeLines="0" w:afterLines="0" w:line="240" w:lineRule="auto"/>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3.4.4</w:t>
      </w:r>
      <w:r>
        <w:rPr>
          <w:rFonts w:hint="eastAsia" w:ascii="宋体" w:hAnsi="宋体" w:eastAsia="宋体" w:cs="宋体"/>
          <w:color w:val="000000"/>
          <w:sz w:val="24"/>
          <w:szCs w:val="24"/>
        </w:rPr>
        <w:t>如实际回迁商业及办公面积大于应回迁商业及办公面积，则甲方可选择按上述面积差异方式结算，或按照等价值转化为住宅面积，具体另行商议。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3.4.5各用途回迁房屋的平均市场单价标准如下：</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（1）办公用房人民币28000元/平方米计算；</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（2）01地块商业为双首层设计，共三层商业：首层商业（临凤凰大道）为人民币58000元/㎡，首层商业（临规划一路）为人民币58000元/㎡，第二层商业为人民币43500元/㎡；</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（3）01地块住宅人民币40000元/平方米计算，03地块住宅人民币40000元/平方米计算。</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3.5（返租保底方式和条件以双方最终签署的合作协议为准）乙方承诺，甲方全部回迁商业和回迁办公物业首次通过集体资产交易平台进行统一租赁招商时，乙方或乙方指定的第三方应参加竞标，且保证投标租金标准办公物业不低于人民币31元/平方米/月、首层商业（临凤凰大道）不低于人民币55元/平方米/月、首层商业（临规划一路）不低于人民币55元/平方米/月、第二层商业不低于人民币35元/平方米/月，租赁期限不少于10年，租金标准分段递增，即第1-3年租金不变，满3年后（第4-6年）在第3年基础上递增5%，满6年后（第7-10年）在第6年基础上递增15%。</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3.6 货币补偿款支付方式及时间：</w:t>
      </w:r>
    </w:p>
    <w:p>
      <w:pPr>
        <w:spacing w:beforeLines="0" w:afterLines="0" w:line="240" w:lineRule="auto"/>
        <w:ind w:firstLine="555"/>
        <w:rPr>
          <w:rFonts w:hint="eastAsia" w:ascii="宋体" w:hAnsi="宋体" w:eastAsia="宋体" w:cs="宋体"/>
          <w:bCs/>
          <w:sz w:val="24"/>
          <w:szCs w:val="22"/>
        </w:rPr>
      </w:pPr>
      <w:r>
        <w:rPr>
          <w:rFonts w:hint="eastAsia" w:ascii="宋体" w:hAnsi="宋体" w:eastAsia="宋体" w:cs="宋体"/>
          <w:bCs/>
          <w:sz w:val="24"/>
          <w:szCs w:val="22"/>
        </w:rPr>
        <w:t>货币补偿款合计人民币</w:t>
      </w:r>
      <w:r>
        <w:rPr>
          <w:rFonts w:hint="eastAsia" w:ascii="宋体" w:hAnsi="宋体" w:eastAsia="宋体" w:cs="宋体"/>
          <w:sz w:val="24"/>
          <w:szCs w:val="24"/>
          <w:u w:val="single"/>
        </w:rPr>
        <w:t>（根据谈判结果填写）</w:t>
      </w:r>
      <w:r>
        <w:rPr>
          <w:rFonts w:hint="eastAsia" w:ascii="宋体" w:hAnsi="宋体" w:eastAsia="宋体" w:cs="宋体"/>
          <w:bCs/>
          <w:sz w:val="24"/>
          <w:szCs w:val="22"/>
        </w:rPr>
        <w:t>(大写：人民币</w:t>
      </w:r>
      <w:r>
        <w:rPr>
          <w:rFonts w:hint="eastAsia" w:ascii="宋体" w:hAnsi="宋体" w:eastAsia="宋体" w:cs="宋体"/>
          <w:sz w:val="24"/>
          <w:szCs w:val="24"/>
          <w:u w:val="single"/>
        </w:rPr>
        <w:t>（根据谈判结果填写）</w:t>
      </w:r>
      <w:r>
        <w:rPr>
          <w:rFonts w:hint="eastAsia" w:ascii="宋体" w:hAnsi="宋体" w:eastAsia="宋体" w:cs="宋体"/>
          <w:bCs/>
          <w:sz w:val="24"/>
          <w:szCs w:val="22"/>
        </w:rPr>
        <w:t>元整)，乙方采用分期付款方式支付给甲方：</w:t>
      </w:r>
    </w:p>
    <w:p>
      <w:pPr>
        <w:spacing w:beforeLines="0" w:afterLines="0" w:line="240" w:lineRule="auto"/>
        <w:ind w:firstLine="480" w:firstLineChars="200"/>
        <w:rPr>
          <w:rFonts w:hint="eastAsia" w:ascii="宋体" w:hAnsi="宋体" w:eastAsia="宋体" w:cs="宋体"/>
          <w:bCs/>
          <w:sz w:val="24"/>
          <w:szCs w:val="22"/>
          <w:u w:val="single"/>
        </w:rPr>
      </w:pPr>
      <w:r>
        <w:rPr>
          <w:rFonts w:hint="eastAsia" w:ascii="宋体" w:hAnsi="宋体" w:eastAsia="宋体" w:cs="宋体"/>
          <w:bCs/>
          <w:sz w:val="24"/>
          <w:szCs w:val="22"/>
        </w:rPr>
        <w:t>第一期：本协议签订之日起十五个工作日内，乙方向甲方支付上述货币补偿款的</w:t>
      </w:r>
      <w:r>
        <w:rPr>
          <w:rFonts w:hint="eastAsia" w:ascii="宋体" w:hAnsi="宋体" w:eastAsia="宋体" w:cs="宋体"/>
          <w:bCs/>
          <w:sz w:val="24"/>
          <w:szCs w:val="22"/>
          <w:u w:val="single"/>
        </w:rPr>
        <w:t xml:space="preserve"> 50%</w:t>
      </w:r>
      <w:r>
        <w:rPr>
          <w:rFonts w:hint="eastAsia" w:ascii="宋体" w:hAnsi="宋体" w:eastAsia="宋体" w:cs="宋体"/>
          <w:bCs/>
          <w:sz w:val="24"/>
          <w:szCs w:val="22"/>
        </w:rPr>
        <w:t>，即人民币</w:t>
      </w:r>
      <w:r>
        <w:rPr>
          <w:rFonts w:hint="eastAsia" w:ascii="宋体" w:hAnsi="宋体" w:eastAsia="宋体" w:cs="宋体"/>
          <w:sz w:val="24"/>
          <w:szCs w:val="24"/>
          <w:u w:val="single"/>
        </w:rPr>
        <w:t>（根据谈判结果填写）</w:t>
      </w:r>
      <w:r>
        <w:rPr>
          <w:rFonts w:hint="eastAsia" w:ascii="宋体" w:hAnsi="宋体" w:eastAsia="宋体" w:cs="宋体"/>
          <w:bCs/>
          <w:sz w:val="24"/>
          <w:szCs w:val="22"/>
        </w:rPr>
        <w:t>元</w:t>
      </w:r>
      <w:r>
        <w:rPr>
          <w:rFonts w:hint="eastAsia" w:ascii="宋体" w:hAnsi="宋体" w:eastAsia="宋体" w:cs="宋体"/>
          <w:bCs/>
          <w:color w:val="000000"/>
          <w:sz w:val="24"/>
          <w:szCs w:val="22"/>
        </w:rPr>
        <w:t>(大写：人民币</w:t>
      </w:r>
      <w:r>
        <w:rPr>
          <w:rFonts w:hint="eastAsia" w:ascii="宋体" w:hAnsi="宋体" w:eastAsia="宋体" w:cs="宋体"/>
          <w:sz w:val="24"/>
          <w:szCs w:val="24"/>
          <w:u w:val="single"/>
        </w:rPr>
        <w:t>（根据谈判结果填写）</w:t>
      </w:r>
      <w:r>
        <w:rPr>
          <w:rFonts w:hint="eastAsia" w:ascii="宋体" w:hAnsi="宋体" w:eastAsia="宋体" w:cs="宋体"/>
          <w:bCs/>
          <w:color w:val="000000"/>
          <w:sz w:val="24"/>
          <w:szCs w:val="22"/>
        </w:rPr>
        <w:t>元整)。</w:t>
      </w:r>
    </w:p>
    <w:p>
      <w:pPr>
        <w:spacing w:beforeLines="0" w:afterLines="0" w:line="240" w:lineRule="auto"/>
        <w:ind w:firstLine="480" w:firstLineChars="200"/>
        <w:rPr>
          <w:rFonts w:hint="eastAsia" w:ascii="宋体" w:hAnsi="宋体" w:eastAsia="宋体" w:cs="宋体"/>
          <w:bCs/>
          <w:sz w:val="24"/>
          <w:szCs w:val="22"/>
          <w:u w:val="single"/>
        </w:rPr>
      </w:pPr>
      <w:r>
        <w:rPr>
          <w:rFonts w:hint="eastAsia" w:ascii="宋体" w:hAnsi="宋体" w:eastAsia="宋体" w:cs="宋体"/>
          <w:bCs/>
          <w:sz w:val="24"/>
          <w:szCs w:val="22"/>
        </w:rPr>
        <w:t>第二期：本协议签订之日起六个月内，乙方向甲方支付上述货币补偿款的</w:t>
      </w:r>
      <w:r>
        <w:rPr>
          <w:rFonts w:hint="eastAsia" w:ascii="宋体" w:hAnsi="宋体" w:eastAsia="宋体" w:cs="宋体"/>
          <w:bCs/>
          <w:sz w:val="24"/>
          <w:szCs w:val="22"/>
          <w:u w:val="single"/>
        </w:rPr>
        <w:t xml:space="preserve"> 50%</w:t>
      </w:r>
      <w:r>
        <w:rPr>
          <w:rFonts w:hint="eastAsia" w:ascii="宋体" w:hAnsi="宋体" w:eastAsia="宋体" w:cs="宋体"/>
          <w:bCs/>
          <w:sz w:val="24"/>
          <w:szCs w:val="22"/>
        </w:rPr>
        <w:t>，即人民币</w:t>
      </w:r>
      <w:r>
        <w:rPr>
          <w:rFonts w:hint="eastAsia" w:ascii="宋体" w:hAnsi="宋体" w:eastAsia="宋体" w:cs="宋体"/>
          <w:sz w:val="24"/>
          <w:szCs w:val="24"/>
          <w:u w:val="single"/>
        </w:rPr>
        <w:t>（根据谈判结果填写）</w:t>
      </w:r>
      <w:r>
        <w:rPr>
          <w:rFonts w:hint="eastAsia" w:ascii="宋体" w:hAnsi="宋体" w:eastAsia="宋体" w:cs="宋体"/>
          <w:bCs/>
          <w:sz w:val="24"/>
          <w:szCs w:val="22"/>
        </w:rPr>
        <w:t>元</w:t>
      </w:r>
      <w:r>
        <w:rPr>
          <w:rFonts w:hint="eastAsia" w:ascii="宋体" w:hAnsi="宋体" w:eastAsia="宋体" w:cs="宋体"/>
          <w:bCs/>
          <w:color w:val="000000"/>
          <w:sz w:val="24"/>
          <w:szCs w:val="22"/>
        </w:rPr>
        <w:t>(大写：人民币</w:t>
      </w:r>
      <w:r>
        <w:rPr>
          <w:rFonts w:hint="eastAsia" w:ascii="宋体" w:hAnsi="宋体" w:eastAsia="宋体" w:cs="宋体"/>
          <w:sz w:val="24"/>
          <w:szCs w:val="24"/>
          <w:u w:val="single"/>
        </w:rPr>
        <w:t>（根据谈判结果填写）</w:t>
      </w:r>
      <w:r>
        <w:rPr>
          <w:rFonts w:hint="eastAsia" w:ascii="宋体" w:hAnsi="宋体" w:eastAsia="宋体" w:cs="宋体"/>
          <w:bCs/>
          <w:color w:val="000000"/>
          <w:sz w:val="24"/>
          <w:szCs w:val="22"/>
        </w:rPr>
        <w:t>元整)。</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3.7搬迁过渡期间的补偿费用金额与支付方式</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3.7.1甲方被置换房屋建筑面积为66894.617平方米，乙方应向甲方支付搬迁过渡期间的补偿费用，搬迁过渡期间的补偿费用标准为人民币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元/月/平方米</w:t>
      </w:r>
      <w:r>
        <w:rPr>
          <w:rFonts w:hint="eastAsia" w:ascii="宋体" w:hAnsi="宋体" w:eastAsia="宋体" w:cs="宋体"/>
          <w:sz w:val="24"/>
          <w:szCs w:val="24"/>
          <w:u w:val="single"/>
        </w:rPr>
        <w:t>（根据谈判结果填写）</w:t>
      </w:r>
      <w:r>
        <w:rPr>
          <w:rFonts w:hint="eastAsia" w:ascii="宋体" w:hAnsi="宋体" w:eastAsia="宋体" w:cs="宋体"/>
          <w:sz w:val="24"/>
          <w:szCs w:val="24"/>
        </w:rPr>
        <w:t>，每月补偿费用为人民币</w:t>
      </w:r>
      <w:r>
        <w:rPr>
          <w:rFonts w:hint="eastAsia" w:ascii="宋体" w:hAnsi="宋体" w:eastAsia="宋体" w:cs="宋体"/>
          <w:sz w:val="24"/>
          <w:szCs w:val="24"/>
          <w:u w:val="single"/>
        </w:rPr>
        <w:t xml:space="preserve">     </w:t>
      </w:r>
      <w:r>
        <w:rPr>
          <w:rFonts w:hint="eastAsia" w:ascii="宋体" w:hAnsi="宋体" w:eastAsia="宋体" w:cs="宋体"/>
          <w:sz w:val="24"/>
          <w:szCs w:val="24"/>
        </w:rPr>
        <w:t>元/月</w:t>
      </w:r>
      <w:r>
        <w:rPr>
          <w:rFonts w:hint="eastAsia" w:ascii="宋体" w:hAnsi="宋体" w:eastAsia="宋体" w:cs="宋体"/>
          <w:sz w:val="24"/>
          <w:szCs w:val="24"/>
          <w:u w:val="single"/>
        </w:rPr>
        <w:t>（根据谈判结果填写）</w:t>
      </w:r>
      <w:r>
        <w:rPr>
          <w:rFonts w:hint="eastAsia" w:ascii="宋体" w:hAnsi="宋体" w:eastAsia="宋体" w:cs="宋体"/>
          <w:sz w:val="24"/>
          <w:szCs w:val="24"/>
        </w:rPr>
        <w:t xml:space="preserve">。搬迁过渡期间的补偿费用每三年为一个周期，每满一个周期的在上一个周期的基础上增加5%。  </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3.7.2甲方搬迁过渡期间的补偿费用自签订合作开发协议起计算，计至甲方取得乙方交付的回迁物业之日止。乙方以支付搬迁过渡期间的补偿费用的方式，不再向甲方提供临时搬迁过渡安置房屋；甲方以收取搬迁过渡期间的补偿费用的方式，在搬迁过渡期间自行安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3.7.3首期搬迁过渡期间的补偿费用的计算期间应自签订合作开发协议之日起至本协议签订日所在季度的最后一日止，不足一个季度的，按实际天数结算。双方签署本协议之日起十个工作日内，乙方支付首期搬迁过渡期间的补偿费用。首期之后，每季度支付一次，即乙方应于每年的1月15日前、4月15日前、7月15日前、10月15日前支付当期该季度的过渡期补偿费。最后一期过渡期补偿费的支付期限不足一个季度的，按实际天数结算，于回迁房屋入伙后一个月内结算支付。</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签订合作协议之日起十个工作日内，乙方依据甲方与意向合作方签订的场地使用合同，一次性补偿支付按实际使用天数结算场地使用费与本协议约定的物业搬迁过渡期间补偿费用差额部分，起算时间以招商方案约定为准。</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3.7.4乙方应按时将当期搬迁过渡期间的补偿费用支付给甲方，  如遇国家法定节假日或休息日，付款时间应顺延至节假日或休息日结束后第二日。甲方应于收到当期搬迁过渡期间的补偿费用的3个工作日内向乙方出具相应的收款收据。</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3.8甲方指定的收取履约保证金及搬迁过渡期间补偿费用的收款银行账户如下：</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3.8.1收取履约保证金的银行账户(需要监管):</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账户名称：深圳市新南股份合作公司</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开户银行：</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银行账号：</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3.8.2收取搬迁过渡期间补偿费用的银行账户：</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开户名：深圳市新南股份合作公司</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开户银行：</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开户账号：</w:t>
      </w:r>
    </w:p>
    <w:p>
      <w:pPr>
        <w:spacing w:line="540" w:lineRule="exact"/>
        <w:jc w:val="center"/>
        <w:rPr>
          <w:rFonts w:hint="eastAsia" w:ascii="宋体" w:hAnsi="宋体" w:eastAsia="宋体" w:cs="宋体"/>
          <w:b/>
          <w:bCs/>
          <w:sz w:val="24"/>
          <w:szCs w:val="24"/>
        </w:rPr>
      </w:pPr>
    </w:p>
    <w:p>
      <w:pPr>
        <w:spacing w:line="540" w:lineRule="exact"/>
        <w:jc w:val="center"/>
        <w:rPr>
          <w:rFonts w:hint="eastAsia" w:ascii="宋体" w:hAnsi="宋体" w:eastAsia="宋体" w:cs="宋体"/>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第四条 甲方权利义务</w:t>
      </w:r>
      <w:r>
        <w:rPr>
          <w:rFonts w:hint="eastAsia" w:ascii="宋体" w:hAnsi="宋体" w:eastAsia="宋体" w:cs="宋体"/>
          <w:b/>
          <w:bCs/>
          <w:sz w:val="24"/>
          <w:szCs w:val="24"/>
        </w:rPr>
        <w:cr/>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4.1甲方应保证本协议第一条所述的集体资产的产权完全属甲方所有，按协议约定完成集体资产及其他附属设施或物件的搬迁并将集体资产及时交付给乙方。甲方应自行与相关单位了清相关税费(包括水、电、排污、电信、燃气、卫生、物业管理、房屋租赁等相关税费),自行解除与原租户的租赁关系并结清房租、押金、水、电等有关费用。</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4.2甲方应在收到乙方的配合通知后十个工作日内无条件配合乙方办理本项目城市更新的有关手续，包括但不限于办理本项目更新范围内建筑物的确权手续、备案手续、完善征转地手续、非农建设用地指标调整、配合乙方办理实施主体确认手续产权注销（或变更）手续、签订搬迁补偿安置协议、办理资产处置、房屋拆除、改造和利用等工作。甲方应当向乙方提交放弃房地产权利的声明书。</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4.3甲方应保证属甲方所有的集体资产未有抵押、质押、担保等对外借贷行为及其它产权瑕疵，否则，由此给乙方造成的损失，概由甲方承担。</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4.4甲方积极配合乙方办理本项目审批工作，包括及时盖章、及时提供所需要的一切文件、资料等。</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4.5根据本项目工作需要完成其他相关配合工作。</w:t>
      </w:r>
      <w:r>
        <w:rPr>
          <w:rFonts w:hint="eastAsia" w:ascii="宋体" w:hAnsi="宋体" w:eastAsia="宋体" w:cs="宋体"/>
          <w:sz w:val="24"/>
          <w:szCs w:val="24"/>
        </w:rPr>
        <w:cr/>
      </w:r>
    </w:p>
    <w:p>
      <w:pPr>
        <w:spacing w:line="540" w:lineRule="exact"/>
        <w:jc w:val="center"/>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第五条 乙方权利义务</w:t>
      </w:r>
    </w:p>
    <w:p>
      <w:pPr>
        <w:spacing w:line="540" w:lineRule="exact"/>
        <w:jc w:val="center"/>
        <w:rPr>
          <w:rFonts w:hint="eastAsia" w:ascii="宋体" w:hAnsi="宋体" w:eastAsia="宋体" w:cs="宋体"/>
          <w:b/>
          <w:bCs/>
          <w:sz w:val="24"/>
          <w:szCs w:val="24"/>
        </w:rPr>
      </w:pP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5.1乙方负责在本项目全部搬迁补偿安置协议签订完毕及备案工作完成后，报请龙岗区城市更新和土地整备局及相关部门确认改造实施主体。</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5.2乙方应根据政府有关规定，向政府有关部门缴纳本项目所涉及的监管资金。</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5.3乙方作为本项目的实施主体，负责办理本项目用地规划许可土地出让等工作，有关费用由乙方承担，并按照获批的有关要求实施。</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5.4非经甲方同意，乙方不得就本项目与第三方签订任何合作开发协议，亦无权转让本项目，不得设置任何第三方权益。</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5.5乙方作为本项目的实施主体，应自行负责本项目的财务管理及资金安排、项目策划、宣传、销售、银行按揭、物业管理及产权过户等相关工作。</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5.6乙方负责本项目的全部出资、规划设计、开发建设、工程招投标、工程施工管理、工程竣工验收及资料归档等工作</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5.7乙方根据本项目进展足额投入所需资金，确保项目顺利进行，保证按期完成改造建设任务。</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5.8乙方应按本协议约定及时向甲方支付搬迁过渡期间的补偿费用，按时向甲方交付回迁物业。</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5.9乙方应及时向其他被搬迁人支付搬迁补偿过程中产生的相关费用，及时向其他被搬迁人交付回迁安置房。</w:t>
      </w:r>
    </w:p>
    <w:p>
      <w:pPr>
        <w:spacing w:line="540" w:lineRule="exact"/>
        <w:rPr>
          <w:rFonts w:hint="eastAsia" w:ascii="宋体" w:hAnsi="宋体" w:eastAsia="宋体" w:cs="宋体"/>
          <w:sz w:val="24"/>
          <w:szCs w:val="24"/>
        </w:rPr>
      </w:pPr>
    </w:p>
    <w:p>
      <w:pPr>
        <w:spacing w:line="540" w:lineRule="exact"/>
        <w:jc w:val="center"/>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第六条 违约责任</w:t>
      </w:r>
    </w:p>
    <w:p>
      <w:pPr>
        <w:spacing w:line="540" w:lineRule="exact"/>
        <w:ind w:firstLine="480" w:firstLineChars="200"/>
        <w:rPr>
          <w:rFonts w:hint="eastAsia" w:ascii="宋体" w:hAnsi="宋体" w:eastAsia="宋体" w:cs="宋体"/>
          <w:sz w:val="24"/>
          <w:szCs w:val="24"/>
        </w:rPr>
      </w:pP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6.1乙方未经甲方同意，擅自就本项目与第三方签订合作开发协议 、转让本项目、设置任何第三方权益的，属乙方违约，甲方有权解除合同并没收乙方的履约保证金，给甲方造成损失的，乙方应承担赔偿责任。乙方与第三方签订合作开发协议无效。转让本项目、设置第三方权益的行为无效，甲方不对此承担任何责任，乙方应自行承担由此产生的经济责任。</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6.2乙方未按约定支付甲方搬迁过渡期间的补偿费用的，自约定</w:t>
      </w: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的支付期限届满之日起至实际支付之日止，乙方应按逾期付款金额每日万分之五的标准支付违约金。</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6.3甲方在本协议履行期限未满前，不得和第三方签订合作协议，  否则属甲方违约，甲方应退还履约保证金及乙方支付的所有款项并赔偿乙方本协议预期经营收入及前期运作所产生的一切费用及利息(利  息按年利率8%计算)。</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6.4非经乙方同意，因甲方的原因未按期将集体资产移交给乙方，  自约定的交付期限满之日起至实际交付之日止，甲方应按日向乙方  支付已付履约保证金万分之二的违约金。 </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6.5乙方因自身原因未按期将回迁物业交付给甲方，属乙方违约，  乙方应自本项目回迁房屋所在地块取得施工许可证后</w:t>
      </w:r>
      <w:r>
        <w:rPr>
          <w:rFonts w:hint="eastAsia" w:ascii="宋体" w:hAnsi="宋体" w:eastAsia="宋体" w:cs="宋体"/>
          <w:sz w:val="24"/>
          <w:szCs w:val="24"/>
          <w:u w:val="single"/>
        </w:rPr>
        <w:t>48</w:t>
      </w:r>
      <w:r>
        <w:rPr>
          <w:rFonts w:hint="eastAsia" w:ascii="宋体" w:hAnsi="宋体" w:eastAsia="宋体" w:cs="宋体"/>
          <w:sz w:val="24"/>
          <w:szCs w:val="24"/>
        </w:rPr>
        <w:t>个月届满之  次日起至甲方取得回迁物业之日止，向甲方支付</w:t>
      </w:r>
      <w:r>
        <w:rPr>
          <w:rFonts w:hint="eastAsia" w:ascii="宋体" w:hAnsi="宋体" w:eastAsia="宋体" w:cs="宋体"/>
          <w:color w:val="000000"/>
          <w:sz w:val="24"/>
          <w:szCs w:val="24"/>
        </w:rPr>
        <w:t>逾期交付期间搬迁过渡期补偿费用从49个月起每年在上一年度过渡期补偿费基础上递增20%。</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6.6若非甲方迟延配合乙方办证或迟延支付超出应回迁建筑面积  部分的办证税费等原因外，乙方逾期办证的，逾期期间，乙方应按照  评估机构出具的回迁房屋建造成本价格计算甲方未办证回迁房屋的  建筑安装造价，按照该回迁房屋建筑安装造价的万分之二/日向甲方  支付违约金。</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6.7甲乙双方对回迁物业面积差异完成结算后，甲方按政府规定履行民主决策程序后十个工作日内支付。任何一方未经对方同意而逾期支付回迁物业建筑面积差异补偿款、房价款的，守约方均有权每日按应支付回迁物业建筑面积差价的万分之二向违约方收取违约金直到违约方将应付款项支付完之日止。如属甲方违约，乙方有权顺延相应的办证期限，直至甲方付清面积差价款之日。</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6.8若因乙方原因导致项目未在主管部门核发的项目实施主体确认文件之日起36个月内取得施工许可证或逾期向甲方交付分成物业超过5年的，即视为乙方违约，甲方有权没收履约保证金。乙方应保证项目开发进度及甲方的物业回迁权，自逾期满五年之日起，甲方有权动用乙方向政府部门缴交的项目监管资金进行开发建设，确保回迁物业的交付，同时，甲方有权追究乙方由此对甲方造成的相关经济损失（包括但不限于律师费、诉讼费、保全费等）。</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6.9若乙方或乙方指定的第三方未按照本协议约定参加回迁商业和回迁办公物业竞标，则乙方构成违约。乙方需按商业及办公物业保底租金标准向甲方额外赔付18个月的租金。</w:t>
      </w:r>
    </w:p>
    <w:p>
      <w:pPr>
        <w:spacing w:line="540" w:lineRule="exact"/>
        <w:jc w:val="center"/>
        <w:rPr>
          <w:rFonts w:hint="eastAsia" w:ascii="宋体" w:hAnsi="宋体" w:eastAsia="宋体" w:cs="宋体"/>
          <w:b/>
          <w:bCs/>
          <w:sz w:val="24"/>
          <w:szCs w:val="24"/>
        </w:rPr>
      </w:pPr>
    </w:p>
    <w:p>
      <w:pPr>
        <w:spacing w:line="540" w:lineRule="exact"/>
        <w:jc w:val="center"/>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第七条 特别约定</w:t>
      </w:r>
    </w:p>
    <w:p>
      <w:pPr>
        <w:widowControl/>
        <w:shd w:val="clear" w:color="auto" w:fill="FFFFFF"/>
        <w:spacing w:line="540" w:lineRule="exact"/>
        <w:ind w:firstLine="480" w:firstLineChars="200"/>
        <w:jc w:val="left"/>
        <w:rPr>
          <w:rFonts w:hint="eastAsia" w:ascii="宋体" w:hAnsi="宋体" w:eastAsia="宋体" w:cs="宋体"/>
          <w:kern w:val="0"/>
          <w:sz w:val="24"/>
          <w:szCs w:val="20"/>
        </w:rPr>
      </w:pPr>
    </w:p>
    <w:p>
      <w:pPr>
        <w:widowControl/>
        <w:shd w:val="clear" w:color="auto" w:fill="FFFFFF"/>
        <w:spacing w:beforeLines="0" w:afterLines="0" w:line="24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7.1乙方须于深圳交易集团有限公司龙岗分公司发出《成交凭证》之日起</w:t>
      </w:r>
      <w:r>
        <w:rPr>
          <w:rFonts w:hint="eastAsia" w:ascii="宋体" w:hAnsi="宋体" w:eastAsia="宋体" w:cs="宋体"/>
          <w:kern w:val="0"/>
          <w:sz w:val="24"/>
          <w:szCs w:val="20"/>
          <w:u w:val="single"/>
        </w:rPr>
        <w:t xml:space="preserve"> 90 </w:t>
      </w:r>
      <w:r>
        <w:rPr>
          <w:rFonts w:hint="eastAsia" w:ascii="宋体" w:hAnsi="宋体" w:eastAsia="宋体" w:cs="宋体"/>
          <w:kern w:val="0"/>
          <w:sz w:val="24"/>
          <w:szCs w:val="20"/>
        </w:rPr>
        <w:t>天内完成本项目所涉及搬迁安置补偿工作的80%</w:t>
      </w:r>
      <w:r>
        <w:rPr>
          <w:rFonts w:hint="eastAsia" w:ascii="宋体" w:hAnsi="宋体" w:eastAsia="宋体" w:cs="宋体"/>
          <w:sz w:val="24"/>
          <w:szCs w:val="24"/>
        </w:rPr>
        <w:t>（按照拆迁建筑面积计算）</w:t>
      </w:r>
      <w:r>
        <w:rPr>
          <w:rFonts w:hint="eastAsia" w:ascii="宋体" w:hAnsi="宋体" w:eastAsia="宋体" w:cs="宋体"/>
          <w:kern w:val="0"/>
          <w:sz w:val="24"/>
          <w:szCs w:val="20"/>
        </w:rPr>
        <w:t>，未按期完成的，甲方将无条件终止本协议，除没收乙方已缴纳的履约保证金外，还将处以双倍履约保证金的处罚。</w:t>
      </w:r>
    </w:p>
    <w:p>
      <w:pPr>
        <w:widowControl/>
        <w:shd w:val="clear" w:color="auto" w:fill="FFFFFF"/>
        <w:spacing w:beforeLines="0" w:afterLines="0" w:line="24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（乙方为非本项目意向合作方的条款，意向合作方中标的无须增加）</w:t>
      </w:r>
    </w:p>
    <w:p>
      <w:pPr>
        <w:widowControl/>
        <w:shd w:val="clear" w:color="auto" w:fill="FFFFFF"/>
        <w:spacing w:beforeLines="0" w:afterLines="0" w:line="24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7.2 乙方应履行以下事项：</w:t>
      </w:r>
    </w:p>
    <w:p>
      <w:pPr>
        <w:widowControl/>
        <w:shd w:val="clear" w:color="auto" w:fill="FFFFFF"/>
        <w:spacing w:beforeLines="0" w:afterLines="0" w:line="24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7.2.1自深圳交易集团有限公司龙岗分公司向乙方发出《成交凭证》之日起5日内，乙方落实深圳大承企业管理有限公司、甲方、乙方三方签订《意向合作方退出三方协议》。自深圳交易集团有限公司龙岗分公司向乙方发出《成交凭证》之日起10日内，乙方无条件一次性向深圳大承企业管理有限公司支付前期费用人民币</w:t>
      </w:r>
      <w:r>
        <w:rPr>
          <w:rFonts w:hint="eastAsia" w:ascii="宋体" w:hAnsi="宋体" w:eastAsia="宋体" w:cs="宋体"/>
          <w:color w:val="000000"/>
          <w:sz w:val="24"/>
          <w:szCs w:val="24"/>
        </w:rPr>
        <w:t>89632.752447</w:t>
      </w:r>
      <w:r>
        <w:rPr>
          <w:rFonts w:hint="eastAsia" w:ascii="宋体" w:hAnsi="宋体" w:eastAsia="宋体" w:cs="宋体"/>
          <w:kern w:val="0"/>
          <w:sz w:val="24"/>
          <w:szCs w:val="20"/>
        </w:rPr>
        <w:t>万元及合理利润人民币</w:t>
      </w:r>
      <w:r>
        <w:rPr>
          <w:rFonts w:hint="eastAsia" w:ascii="宋体" w:hAnsi="宋体" w:eastAsia="宋体" w:cs="宋体"/>
          <w:color w:val="000000"/>
          <w:sz w:val="24"/>
          <w:szCs w:val="24"/>
        </w:rPr>
        <w:t>17926.550489</w:t>
      </w:r>
      <w:r>
        <w:rPr>
          <w:rFonts w:hint="eastAsia" w:ascii="宋体" w:hAnsi="宋体" w:eastAsia="宋体" w:cs="宋体"/>
          <w:kern w:val="0"/>
          <w:sz w:val="24"/>
          <w:szCs w:val="20"/>
        </w:rPr>
        <w:t>万元(合理利润为前期费用的20%)共计人民币</w:t>
      </w:r>
      <w:r>
        <w:rPr>
          <w:rFonts w:hint="eastAsia" w:ascii="宋体" w:hAnsi="宋体" w:eastAsia="宋体" w:cs="宋体"/>
          <w:color w:val="000000"/>
          <w:sz w:val="24"/>
          <w:szCs w:val="24"/>
        </w:rPr>
        <w:t>107559.302936</w:t>
      </w:r>
      <w:r>
        <w:rPr>
          <w:rFonts w:hint="eastAsia" w:ascii="宋体" w:hAnsi="宋体" w:eastAsia="宋体" w:cs="宋体"/>
          <w:kern w:val="0"/>
          <w:sz w:val="24"/>
          <w:szCs w:val="20"/>
        </w:rPr>
        <w:t>万元。</w:t>
      </w:r>
    </w:p>
    <w:p>
      <w:pPr>
        <w:widowControl/>
        <w:shd w:val="clear" w:color="auto" w:fill="FFFFFF"/>
        <w:spacing w:beforeLines="0" w:afterLines="0" w:line="240" w:lineRule="auto"/>
        <w:ind w:firstLine="480" w:firstLineChars="200"/>
        <w:rPr>
          <w:rFonts w:hint="eastAsia" w:ascii="宋体" w:hAnsi="宋体" w:eastAsia="宋体" w:cs="宋体"/>
          <w:kern w:val="0"/>
          <w:sz w:val="24"/>
          <w:szCs w:val="20"/>
        </w:rPr>
      </w:pPr>
      <w:r>
        <w:rPr>
          <w:rFonts w:hint="eastAsia" w:ascii="宋体" w:hAnsi="宋体" w:eastAsia="宋体" w:cs="宋体"/>
          <w:kern w:val="0"/>
          <w:sz w:val="24"/>
          <w:szCs w:val="20"/>
        </w:rPr>
        <w:t>7.2.2乙方未按时签订退出三方协议、向深圳大承企业管理有限公司支付前期费用及合理利润、未按时落实解除资金监管或向深圳大承企业管理有限公司支付监管资金的，甲方将无条件终止本协并没收乙方已缴纳的专项保证金或履约保证金。</w:t>
      </w:r>
    </w:p>
    <w:p>
      <w:pPr>
        <w:spacing w:line="540" w:lineRule="exact"/>
        <w:jc w:val="center"/>
        <w:rPr>
          <w:rFonts w:hint="eastAsia" w:ascii="宋体" w:hAnsi="宋体" w:eastAsia="宋体" w:cs="宋体"/>
          <w:sz w:val="24"/>
          <w:szCs w:val="24"/>
        </w:rPr>
      </w:pPr>
    </w:p>
    <w:p>
      <w:pPr>
        <w:spacing w:line="540" w:lineRule="exact"/>
        <w:jc w:val="center"/>
        <w:rPr>
          <w:rFonts w:hint="eastAsia"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第八条</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其他</w:t>
      </w:r>
    </w:p>
    <w:p>
      <w:pPr>
        <w:spacing w:line="540" w:lineRule="exact"/>
        <w:ind w:firstLine="480" w:firstLineChars="200"/>
        <w:rPr>
          <w:rFonts w:hint="eastAsia" w:ascii="宋体" w:hAnsi="宋体" w:eastAsia="宋体" w:cs="宋体"/>
          <w:sz w:val="24"/>
          <w:szCs w:val="24"/>
        </w:rPr>
      </w:pP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 任何一方对于不可抗力造成的本协议的部分或全部不能履行不负责任，但应在条件允许的情况下采取一切必要的补救措施以减少不可抗力造成的损失。</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 任何一方在本协议的签订及履行过程中获知的对方公司的有关文件、数据、信息等均为对方公司的保密信息，非因本项目工作需要，任何一方不能向第三方泄露，否则，由此给对方造成损失的，应赔偿损失并承担相应的法律责任。</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8.3因履行本协议产生争议的，双方应协商解决，协商不成的，可以向本项目所在地人民法院提起诉讼。</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8.4各方送达地址及联系人</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甲方地址：深圳市龙岗区平湖街道新南社区深圳市新南股份合作公司办公楼11楼，联系人：任伟祥，联系电话：13502805665</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乙方地址：     ,联系人：    ,联系电话：       。</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协议列明的送达地址为各方与本协议有关的任何通知等文件的有效送达地址，并作为诉讼/仲裁过程中人民法院/仲裁机构的有效送达地址。以特快专递（EMS）向对方寄送的通知等，自投邮之日起第7天，视为收件人收悉并知悉该等通知的内容。一方联系方式如有任何变动均应提前5日以书面形式通知对方，否则视为未变更。</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8.5 乙方在本项目具有下列情形之一的，甲方有权单方面无条件取消其项目合作资格：</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（1）被纪检监察部门立案调查，违法违规事实成立的；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（2）隐瞒真实情况，提供虚假资料等弄虚作假的；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（3）实施不正当竞争行为，排斥其他供应商参与竞争的；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（4）抗拒主管部门监督检查的；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（5）实施商业贿赂行为的。</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8.6本协议经政府主管机关审核通过后，经甲、乙双方盖章和法定代表人签字生效。</w:t>
      </w:r>
    </w:p>
    <w:p>
      <w:pPr>
        <w:spacing w:beforeLines="0" w:afterLines="0" w:line="24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8.7本协议一式十份，甲方执两份，乙方执两份，其余份数由乙方执有，并根据工作需要报政府相关部门备案，具有同等法律效力。</w:t>
      </w: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beforeLines="0" w:afterLines="0" w:line="240" w:lineRule="auto"/>
        <w:jc w:val="center"/>
        <w:rPr>
          <w:rFonts w:hint="eastAsia" w:ascii="宋体" w:hAnsi="宋体" w:eastAsia="宋体" w:cs="宋体"/>
          <w:sz w:val="24"/>
          <w:szCs w:val="24"/>
        </w:rPr>
      </w:pPr>
      <w:r>
        <w:rPr>
          <w:rFonts w:hint="eastAsia" w:ascii="宋体" w:hAnsi="宋体" w:eastAsia="宋体" w:cs="宋体"/>
          <w:sz w:val="24"/>
          <w:szCs w:val="24"/>
        </w:rPr>
        <w:t>（以下无正文，本页为签署页）</w:t>
      </w:r>
    </w:p>
    <w:p>
      <w:pPr>
        <w:spacing w:beforeLines="0" w:afterLines="0" w:line="240" w:lineRule="auto"/>
        <w:rPr>
          <w:rFonts w:hint="eastAsia" w:ascii="宋体" w:hAnsi="宋体" w:eastAsia="宋体" w:cs="宋体"/>
          <w:sz w:val="24"/>
          <w:szCs w:val="24"/>
        </w:rPr>
      </w:pP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甲方(盖章):深圳市新南股份合作公司</w:t>
      </w:r>
    </w:p>
    <w:p>
      <w:pPr>
        <w:spacing w:beforeLines="0" w:afterLines="0" w:line="240" w:lineRule="auto"/>
        <w:rPr>
          <w:rFonts w:hint="eastAsia" w:ascii="宋体" w:hAnsi="宋体" w:eastAsia="宋体" w:cs="宋体"/>
          <w:sz w:val="24"/>
          <w:szCs w:val="24"/>
        </w:rPr>
      </w:pPr>
      <w:r>
        <w:rPr>
          <w:rFonts w:hint="eastAsia" w:ascii="宋体" w:hAnsi="宋体" w:eastAsia="宋体" w:cs="宋体"/>
          <w:sz w:val="24"/>
          <w:szCs w:val="24"/>
        </w:rPr>
        <w:t>法定代表人(签字):</w:t>
      </w:r>
    </w:p>
    <w:p>
      <w:pPr>
        <w:spacing w:line="540" w:lineRule="exact"/>
        <w:rPr>
          <w:rFonts w:hint="eastAsia" w:ascii="宋体" w:hAnsi="宋体" w:eastAsia="宋体" w:cs="宋体"/>
          <w:sz w:val="24"/>
          <w:szCs w:val="24"/>
        </w:rPr>
      </w:pPr>
    </w:p>
    <w:p>
      <w:pPr>
        <w:spacing w:line="540" w:lineRule="exact"/>
        <w:rPr>
          <w:rFonts w:hint="eastAsia" w:ascii="宋体" w:hAnsi="宋体" w:eastAsia="宋体" w:cs="宋体"/>
          <w:sz w:val="24"/>
          <w:szCs w:val="24"/>
        </w:rPr>
      </w:pPr>
    </w:p>
    <w:p>
      <w:pPr>
        <w:spacing w:line="540" w:lineRule="exact"/>
        <w:rPr>
          <w:rFonts w:hint="eastAsia" w:ascii="宋体" w:hAnsi="宋体" w:eastAsia="宋体" w:cs="宋体"/>
          <w:sz w:val="24"/>
          <w:szCs w:val="24"/>
        </w:rPr>
      </w:pPr>
    </w:p>
    <w:p>
      <w:pPr>
        <w:spacing w:line="540" w:lineRule="exact"/>
        <w:rPr>
          <w:rFonts w:hint="eastAsia" w:ascii="宋体" w:hAnsi="宋体" w:eastAsia="宋体" w:cs="宋体"/>
          <w:sz w:val="24"/>
          <w:szCs w:val="24"/>
        </w:rPr>
      </w:pPr>
      <w:r>
        <w:rPr>
          <w:rFonts w:hint="eastAsia" w:ascii="宋体" w:hAnsi="宋体" w:eastAsia="宋体" w:cs="宋体"/>
          <w:sz w:val="24"/>
          <w:szCs w:val="24"/>
        </w:rPr>
        <w:t>乙方(盖章):</w:t>
      </w:r>
    </w:p>
    <w:p>
      <w:pPr>
        <w:spacing w:line="540" w:lineRule="exact"/>
        <w:rPr>
          <w:rFonts w:hint="eastAsia" w:ascii="宋体" w:hAnsi="宋体" w:eastAsia="宋体" w:cs="宋体"/>
          <w:sz w:val="24"/>
          <w:szCs w:val="24"/>
        </w:rPr>
      </w:pPr>
      <w:r>
        <w:rPr>
          <w:rFonts w:hint="eastAsia" w:ascii="宋体" w:hAnsi="宋体" w:eastAsia="宋体" w:cs="宋体"/>
          <w:sz w:val="24"/>
          <w:szCs w:val="24"/>
        </w:rPr>
        <w:t>法定代表人(签字)</w:t>
      </w:r>
    </w:p>
    <w:p>
      <w:pPr>
        <w:spacing w:line="540" w:lineRule="exact"/>
        <w:ind w:firstLine="4560" w:firstLineChars="1900"/>
        <w:rPr>
          <w:rFonts w:hint="eastAsia" w:ascii="宋体" w:hAnsi="宋体" w:eastAsia="宋体" w:cs="宋体"/>
          <w:sz w:val="24"/>
          <w:szCs w:val="24"/>
        </w:rPr>
      </w:pPr>
    </w:p>
    <w:p>
      <w:pPr>
        <w:spacing w:line="540" w:lineRule="exact"/>
        <w:ind w:firstLine="4560" w:firstLineChars="1900"/>
        <w:rPr>
          <w:rFonts w:hint="eastAsia" w:ascii="宋体" w:hAnsi="宋体" w:eastAsia="宋体" w:cs="宋体"/>
          <w:sz w:val="24"/>
          <w:szCs w:val="24"/>
        </w:rPr>
      </w:pPr>
      <w:r>
        <w:rPr>
          <w:rFonts w:hint="eastAsia" w:ascii="宋体" w:hAnsi="宋体" w:eastAsia="宋体" w:cs="宋体"/>
          <w:sz w:val="24"/>
          <w:szCs w:val="24"/>
        </w:rPr>
        <w:t>签订时间：   年  月 日</w:t>
      </w:r>
    </w:p>
    <w:p>
      <w:pPr>
        <w:spacing w:line="540" w:lineRule="exact"/>
        <w:ind w:firstLine="4560" w:firstLineChars="1900"/>
        <w:rPr>
          <w:rFonts w:hint="eastAsia" w:ascii="宋体" w:hAnsi="宋体" w:eastAsia="宋体" w:cs="宋体"/>
          <w:sz w:val="24"/>
          <w:szCs w:val="24"/>
        </w:rPr>
      </w:pPr>
      <w:r>
        <w:rPr>
          <w:rFonts w:hint="eastAsia" w:ascii="宋体" w:hAnsi="宋体" w:eastAsia="宋体" w:cs="宋体"/>
          <w:sz w:val="24"/>
          <w:szCs w:val="24"/>
        </w:rPr>
        <w:t>签订地点：深圳市龙岗区</w:t>
      </w:r>
    </w:p>
    <w:p>
      <w:pPr>
        <w:spacing w:line="520" w:lineRule="exact"/>
        <w:rPr>
          <w:rFonts w:hint="eastAsia" w:ascii="宋体" w:hAnsi="宋体" w:eastAsia="宋体" w:cs="宋体"/>
          <w:sz w:val="24"/>
          <w:szCs w:val="24"/>
        </w:rPr>
      </w:pPr>
    </w:p>
    <w:p>
      <w:pPr>
        <w:spacing w:line="440" w:lineRule="exact"/>
        <w:rPr>
          <w:rFonts w:hint="eastAsia" w:ascii="宋体" w:hAnsi="宋体" w:eastAsia="宋体" w:cs="宋体"/>
          <w:color w:val="000000"/>
        </w:rPr>
      </w:pPr>
      <w:r>
        <w:rPr>
          <w:rFonts w:hint="eastAsia" w:ascii="宋体" w:hAnsi="宋体" w:eastAsia="宋体" w:cs="宋体"/>
          <w:sz w:val="28"/>
          <w:szCs w:val="28"/>
        </w:rPr>
        <w:br w:type="page"/>
      </w:r>
    </w:p>
    <w:p>
      <w:pPr>
        <w:pStyle w:val="3"/>
        <w:spacing w:before="120" w:after="120" w:line="400" w:lineRule="exact"/>
        <w:jc w:val="center"/>
        <w:rPr>
          <w:rFonts w:hint="eastAsia" w:ascii="宋体" w:hAnsi="宋体" w:eastAsia="宋体" w:cs="宋体"/>
          <w:b w:val="0"/>
          <w:bCs w:val="0"/>
          <w:color w:val="000000"/>
          <w:sz w:val="32"/>
        </w:rPr>
      </w:pPr>
      <w:bookmarkStart w:id="184" w:name="_Toc55238682"/>
      <w:r>
        <w:rPr>
          <w:rFonts w:hint="eastAsia" w:ascii="宋体" w:hAnsi="宋体" w:eastAsia="宋体" w:cs="宋体"/>
          <w:b w:val="0"/>
          <w:bCs w:val="0"/>
          <w:color w:val="000000"/>
          <w:sz w:val="32"/>
        </w:rPr>
        <w:t>第五部分  投标文件格式</w:t>
      </w:r>
      <w:bookmarkEnd w:id="184"/>
    </w:p>
    <w:p>
      <w:pPr>
        <w:spacing w:line="400" w:lineRule="exact"/>
        <w:rPr>
          <w:rFonts w:hint="eastAsia" w:ascii="宋体" w:hAnsi="宋体" w:eastAsia="宋体" w:cs="宋体"/>
          <w:color w:val="000000"/>
        </w:rPr>
      </w:pPr>
    </w:p>
    <w:p>
      <w:pPr>
        <w:spacing w:line="400" w:lineRule="exact"/>
        <w:rPr>
          <w:rFonts w:hint="eastAsia" w:ascii="宋体" w:hAnsi="宋体" w:eastAsia="宋体" w:cs="宋体"/>
          <w:color w:val="000000"/>
          <w:sz w:val="20"/>
          <w:szCs w:val="20"/>
        </w:rPr>
      </w:pPr>
      <w:r>
        <w:rPr>
          <w:rFonts w:hint="eastAsia" w:ascii="宋体" w:hAnsi="宋体" w:eastAsia="宋体" w:cs="宋体"/>
          <w:color w:val="000000"/>
        </w:rPr>
        <w:br w:type="page"/>
      </w:r>
    </w:p>
    <w:p>
      <w:pPr>
        <w:jc w:val="center"/>
        <w:rPr>
          <w:rFonts w:hint="eastAsia" w:ascii="宋体" w:hAnsi="宋体" w:eastAsia="宋体" w:cs="宋体"/>
          <w:bCs/>
          <w:color w:val="000000"/>
          <w:sz w:val="34"/>
          <w:szCs w:val="28"/>
          <w:u w:val="single"/>
        </w:rPr>
      </w:pPr>
      <w:r>
        <w:rPr>
          <w:rFonts w:hint="eastAsia" w:ascii="宋体" w:hAnsi="宋体" w:eastAsia="宋体" w:cs="宋体"/>
          <w:bCs/>
          <w:color w:val="000000"/>
          <w:sz w:val="34"/>
          <w:szCs w:val="28"/>
          <w:u w:val="single"/>
        </w:rPr>
        <w:t>深圳市龙岗区平湖街道凤凰工业园</w:t>
      </w:r>
    </w:p>
    <w:p>
      <w:pPr>
        <w:jc w:val="center"/>
        <w:rPr>
          <w:rFonts w:hint="eastAsia" w:ascii="宋体" w:hAnsi="宋体" w:eastAsia="宋体" w:cs="宋体"/>
          <w:color w:val="000000"/>
          <w:sz w:val="34"/>
          <w:szCs w:val="28"/>
          <w:u w:val="single"/>
        </w:rPr>
      </w:pPr>
      <w:r>
        <w:rPr>
          <w:rFonts w:hint="eastAsia" w:ascii="宋体" w:hAnsi="宋体" w:eastAsia="宋体" w:cs="宋体"/>
          <w:bCs/>
          <w:color w:val="000000"/>
          <w:sz w:val="34"/>
          <w:szCs w:val="28"/>
          <w:u w:val="single"/>
        </w:rPr>
        <w:t>城市更新项目</w:t>
      </w:r>
    </w:p>
    <w:p>
      <w:pPr>
        <w:rPr>
          <w:rFonts w:hint="eastAsia" w:ascii="宋体" w:hAnsi="宋体" w:eastAsia="宋体" w:cs="宋体"/>
          <w:color w:val="000000"/>
          <w:sz w:val="20"/>
          <w:szCs w:val="20"/>
        </w:rPr>
      </w:pPr>
    </w:p>
    <w:p>
      <w:pPr>
        <w:rPr>
          <w:rFonts w:hint="eastAsia" w:ascii="宋体" w:hAnsi="宋体" w:eastAsia="宋体" w:cs="宋体"/>
          <w:color w:val="000000"/>
          <w:sz w:val="20"/>
          <w:szCs w:val="20"/>
        </w:rPr>
      </w:pPr>
      <w:r>
        <w:rPr>
          <w:rFonts w:hint="eastAsia" w:ascii="宋体" w:hAnsi="宋体" w:eastAsia="宋体" w:cs="宋体"/>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3756660</wp:posOffset>
                </wp:positionH>
                <wp:positionV relativeFrom="paragraph">
                  <wp:posOffset>15875</wp:posOffset>
                </wp:positionV>
                <wp:extent cx="1343025" cy="600075"/>
                <wp:effectExtent l="4445" t="4445" r="8890" b="5080"/>
                <wp:wrapNone/>
                <wp:docPr id="1" name="文本框 1"/>
                <wp:cNvGraphicFramePr/>
                <a:graphic xmlns:a="http://schemas.openxmlformats.org/drawingml/2006/main">
                  <a:graphicData uri="http://schemas.microsoft.com/office/word/2010/wordprocessingShape">
                    <wps:wsp>
                      <wps:cNvSpPr txBox="1"/>
                      <wps:spPr>
                        <a:xfrm>
                          <a:off x="0" y="0"/>
                          <a:ext cx="1343025" cy="6000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52"/>
                                <w:szCs w:val="52"/>
                              </w:rPr>
                            </w:pPr>
                            <w:r>
                              <w:rPr>
                                <w:rFonts w:hint="eastAsia"/>
                                <w:sz w:val="52"/>
                                <w:szCs w:val="52"/>
                              </w:rPr>
                              <w:t>正</w:t>
                            </w:r>
                            <w:r>
                              <w:rPr>
                                <w:sz w:val="52"/>
                                <w:szCs w:val="52"/>
                              </w:rPr>
                              <w:t>/</w:t>
                            </w:r>
                            <w:r>
                              <w:rPr>
                                <w:rFonts w:hint="eastAsia"/>
                                <w:sz w:val="52"/>
                                <w:szCs w:val="52"/>
                              </w:rPr>
                              <w:t>副本</w:t>
                            </w:r>
                          </w:p>
                        </w:txbxContent>
                      </wps:txbx>
                      <wps:bodyPr upright="1"/>
                    </wps:wsp>
                  </a:graphicData>
                </a:graphic>
              </wp:anchor>
            </w:drawing>
          </mc:Choice>
          <mc:Fallback>
            <w:pict>
              <v:shape id="_x0000_s1026" o:spid="_x0000_s1026" o:spt="202" type="#_x0000_t202" style="position:absolute;left:0pt;margin-left:295.8pt;margin-top:1.25pt;height:47.25pt;width:105.75pt;z-index:251659264;mso-width-relative:page;mso-height-relative:page;" fillcolor="#FFFFFF" filled="t" stroked="t" coordsize="21600,21600" o:gfxdata="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UZQpvYAAAACAEAAA8AAAAAAAAAAQAgAAAAIgAA&#10;AGRycy9kb3ducmV2LnhtbFBLAQIUABQAAAAIAIdO4kBYZFvuCAIAADYEAAAOAAAAAAAAAAEAIAAA&#10;ACcBAABkcnMvZTJvRG9jLnhtbFBLBQYAAAAABgAGAFkBAAChBQAAAAA=&#10;">
                <v:fill on="t" focussize="0,0"/>
                <v:stroke color="#000000" joinstyle="miter"/>
                <v:imagedata o:title=""/>
                <o:lock v:ext="edit" aspectratio="f"/>
                <v:textbox>
                  <w:txbxContent>
                    <w:p>
                      <w:pPr>
                        <w:jc w:val="center"/>
                        <w:rPr>
                          <w:sz w:val="52"/>
                          <w:szCs w:val="52"/>
                        </w:rPr>
                      </w:pPr>
                      <w:r>
                        <w:rPr>
                          <w:rFonts w:hint="eastAsia"/>
                          <w:sz w:val="52"/>
                          <w:szCs w:val="52"/>
                        </w:rPr>
                        <w:t>正</w:t>
                      </w:r>
                      <w:r>
                        <w:rPr>
                          <w:sz w:val="52"/>
                          <w:szCs w:val="52"/>
                        </w:rPr>
                        <w:t>/</w:t>
                      </w:r>
                      <w:r>
                        <w:rPr>
                          <w:rFonts w:hint="eastAsia"/>
                          <w:sz w:val="52"/>
                          <w:szCs w:val="52"/>
                        </w:rPr>
                        <w:t>副本</w:t>
                      </w:r>
                    </w:p>
                  </w:txbxContent>
                </v:textbox>
              </v:shape>
            </w:pict>
          </mc:Fallback>
        </mc:AlternateContent>
      </w:r>
    </w:p>
    <w:p>
      <w:pPr>
        <w:rPr>
          <w:rFonts w:hint="eastAsia" w:ascii="宋体" w:hAnsi="宋体" w:eastAsia="宋体" w:cs="宋体"/>
          <w:color w:val="000000"/>
          <w:sz w:val="20"/>
          <w:szCs w:val="20"/>
        </w:rPr>
      </w:pPr>
    </w:p>
    <w:p>
      <w:pPr>
        <w:rPr>
          <w:rFonts w:hint="eastAsia" w:ascii="宋体" w:hAnsi="宋体" w:eastAsia="宋体" w:cs="宋体"/>
          <w:color w:val="000000"/>
          <w:sz w:val="20"/>
          <w:szCs w:val="20"/>
        </w:rPr>
      </w:pPr>
    </w:p>
    <w:p>
      <w:pPr>
        <w:keepNext/>
        <w:keepLines/>
        <w:jc w:val="center"/>
        <w:rPr>
          <w:rFonts w:hint="eastAsia" w:ascii="宋体" w:hAnsi="宋体" w:eastAsia="宋体" w:cs="宋体"/>
          <w:color w:val="000000"/>
          <w:sz w:val="44"/>
          <w:szCs w:val="44"/>
        </w:rPr>
      </w:pPr>
      <w:r>
        <w:rPr>
          <w:rFonts w:hint="eastAsia" w:ascii="宋体" w:hAnsi="宋体" w:eastAsia="宋体" w:cs="宋体"/>
          <w:color w:val="000000"/>
          <w:sz w:val="44"/>
          <w:szCs w:val="44"/>
        </w:rPr>
        <w:t>投标文件</w:t>
      </w: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rPr>
          <w:rFonts w:hint="eastAsia" w:ascii="宋体" w:hAnsi="宋体" w:eastAsia="宋体" w:cs="宋体"/>
          <w:color w:val="000000"/>
          <w:sz w:val="28"/>
          <w:szCs w:val="28"/>
        </w:rPr>
      </w:pPr>
    </w:p>
    <w:p>
      <w:pPr>
        <w:jc w:val="center"/>
        <w:rPr>
          <w:rFonts w:hint="eastAsia" w:ascii="宋体" w:hAnsi="宋体" w:eastAsia="宋体" w:cs="宋体"/>
          <w:color w:val="000000"/>
          <w:sz w:val="28"/>
          <w:szCs w:val="28"/>
          <w:u w:val="single"/>
        </w:rPr>
      </w:pPr>
      <w:r>
        <w:rPr>
          <w:rFonts w:hint="eastAsia" w:ascii="宋体" w:hAnsi="宋体" w:eastAsia="宋体" w:cs="宋体"/>
          <w:color w:val="000000"/>
          <w:sz w:val="28"/>
          <w:szCs w:val="28"/>
        </w:rPr>
        <w:t>投标人：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（盖单位章）</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rPr>
        <w:t>法定代表人或其委托代理人：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（签字）</w:t>
      </w:r>
    </w:p>
    <w:p>
      <w:pPr>
        <w:jc w:val="center"/>
        <w:rPr>
          <w:rFonts w:hint="eastAsia" w:ascii="宋体" w:hAnsi="宋体" w:eastAsia="宋体" w:cs="宋体"/>
          <w:color w:val="000000"/>
          <w:sz w:val="28"/>
          <w:szCs w:val="28"/>
        </w:rPr>
      </w:pP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w:t>
      </w:r>
    </w:p>
    <w:p>
      <w:pPr>
        <w:spacing w:line="440" w:lineRule="exact"/>
        <w:rPr>
          <w:rFonts w:hint="eastAsia" w:ascii="宋体" w:hAnsi="宋体" w:eastAsia="宋体" w:cs="宋体"/>
          <w:color w:val="000000"/>
          <w:sz w:val="20"/>
          <w:szCs w:val="20"/>
        </w:rPr>
      </w:pPr>
    </w:p>
    <w:p>
      <w:pPr>
        <w:pStyle w:val="16"/>
        <w:rPr>
          <w:rFonts w:hint="eastAsia" w:ascii="宋体" w:hAnsi="宋体" w:eastAsia="宋体" w:cs="宋体"/>
          <w:color w:val="000000"/>
        </w:rPr>
      </w:pPr>
      <w:bookmarkStart w:id="185" w:name="_Toc152042576"/>
      <w:bookmarkStart w:id="186" w:name="_Toc144974856"/>
      <w:bookmarkStart w:id="187" w:name="_Toc152045787"/>
      <w:r>
        <w:rPr>
          <w:rFonts w:hint="eastAsia" w:ascii="宋体" w:hAnsi="宋体" w:eastAsia="宋体" w:cs="宋体"/>
          <w:color w:val="000000"/>
          <w:sz w:val="21"/>
          <w:szCs w:val="24"/>
        </w:rPr>
        <w:br w:type="page"/>
      </w:r>
    </w:p>
    <w:p>
      <w:pPr>
        <w:pStyle w:val="16"/>
        <w:jc w:val="center"/>
        <w:rPr>
          <w:rFonts w:hint="eastAsia" w:ascii="宋体" w:hAnsi="宋体" w:eastAsia="宋体" w:cs="宋体"/>
          <w:color w:val="000000"/>
        </w:rPr>
      </w:pPr>
      <w:bookmarkStart w:id="188" w:name="_Toc55238683"/>
      <w:r>
        <w:rPr>
          <w:rFonts w:hint="eastAsia" w:ascii="宋体" w:hAnsi="宋体" w:eastAsia="宋体" w:cs="宋体"/>
          <w:color w:val="000000"/>
        </w:rPr>
        <w:t>目    录</w:t>
      </w:r>
      <w:bookmarkEnd w:id="185"/>
      <w:bookmarkEnd w:id="186"/>
      <w:bookmarkEnd w:id="187"/>
      <w:bookmarkEnd w:id="188"/>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一、投标函</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二、</w:t>
      </w:r>
      <w:r>
        <w:rPr>
          <w:rFonts w:hint="eastAsia" w:ascii="宋体" w:hAnsi="宋体" w:eastAsia="宋体" w:cs="宋体"/>
          <w:color w:val="000000"/>
          <w:sz w:val="24"/>
          <w:lang w:val="en-US" w:eastAsia="zh-CN"/>
        </w:rPr>
        <w:t>投标报价</w:t>
      </w:r>
      <w:r>
        <w:rPr>
          <w:rFonts w:hint="eastAsia" w:ascii="宋体" w:hAnsi="宋体" w:eastAsia="宋体" w:cs="宋体"/>
          <w:color w:val="000000"/>
          <w:sz w:val="24"/>
        </w:rPr>
        <w:t>表</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三、集体所得利益保障承诺</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四、诚信承诺函</w:t>
      </w:r>
    </w:p>
    <w:p>
      <w:pPr>
        <w:spacing w:line="540" w:lineRule="exact"/>
        <w:rPr>
          <w:rFonts w:hint="eastAsia" w:ascii="宋体" w:hAnsi="宋体" w:eastAsia="宋体" w:cs="宋体"/>
          <w:color w:val="000000"/>
          <w:sz w:val="24"/>
          <w:lang w:eastAsia="zh-CN"/>
        </w:rPr>
      </w:pPr>
      <w:r>
        <w:rPr>
          <w:rFonts w:hint="eastAsia" w:ascii="宋体" w:hAnsi="宋体" w:eastAsia="宋体" w:cs="宋体"/>
          <w:color w:val="000000"/>
          <w:sz w:val="24"/>
        </w:rPr>
        <w:t>五、法定代表人证明书</w:t>
      </w:r>
      <w:r>
        <w:rPr>
          <w:rFonts w:hint="eastAsia" w:ascii="宋体" w:hAnsi="宋体" w:eastAsia="宋体" w:cs="宋体"/>
          <w:color w:val="000000"/>
          <w:sz w:val="24"/>
          <w:lang w:eastAsia="zh-CN"/>
        </w:rPr>
        <w:t>、</w:t>
      </w:r>
      <w:r>
        <w:rPr>
          <w:rFonts w:hint="eastAsia" w:ascii="宋体" w:hAnsi="宋体" w:eastAsia="宋体" w:cs="宋体"/>
          <w:color w:val="000000"/>
          <w:sz w:val="24"/>
        </w:rPr>
        <w:t>法定代表人授权委托书</w:t>
      </w:r>
    </w:p>
    <w:p>
      <w:pPr>
        <w:spacing w:line="540" w:lineRule="exact"/>
        <w:rPr>
          <w:rFonts w:hint="eastAsia" w:ascii="宋体" w:hAnsi="宋体" w:eastAsia="宋体" w:cs="宋体"/>
          <w:color w:val="000000"/>
          <w:sz w:val="24"/>
        </w:rPr>
      </w:pPr>
      <w:r>
        <w:rPr>
          <w:rFonts w:hint="eastAsia" w:ascii="宋体" w:hAnsi="宋体" w:cs="宋体"/>
          <w:color w:val="000000"/>
          <w:sz w:val="24"/>
          <w:lang w:val="en-US" w:eastAsia="zh-CN"/>
        </w:rPr>
        <w:t>六</w:t>
      </w:r>
      <w:r>
        <w:rPr>
          <w:rFonts w:hint="eastAsia" w:ascii="宋体" w:hAnsi="宋体" w:eastAsia="宋体" w:cs="宋体"/>
          <w:color w:val="000000"/>
          <w:sz w:val="24"/>
        </w:rPr>
        <w:t>、营业执照复印件（加盖公章）</w:t>
      </w:r>
    </w:p>
    <w:p>
      <w:pPr>
        <w:spacing w:line="540" w:lineRule="exact"/>
        <w:rPr>
          <w:rFonts w:hint="eastAsia" w:ascii="宋体" w:hAnsi="宋体" w:eastAsia="宋体" w:cs="宋体"/>
          <w:color w:val="000000"/>
          <w:sz w:val="24"/>
        </w:rPr>
      </w:pPr>
      <w:r>
        <w:rPr>
          <w:rFonts w:hint="eastAsia" w:ascii="宋体" w:hAnsi="宋体" w:cs="宋体"/>
          <w:color w:val="000000"/>
          <w:sz w:val="24"/>
          <w:lang w:val="en-US" w:eastAsia="zh-CN"/>
        </w:rPr>
        <w:t>七</w:t>
      </w:r>
      <w:r>
        <w:rPr>
          <w:rFonts w:hint="eastAsia" w:ascii="宋体" w:hAnsi="宋体" w:eastAsia="宋体" w:cs="宋体"/>
          <w:color w:val="000000"/>
          <w:sz w:val="24"/>
        </w:rPr>
        <w:t>、</w:t>
      </w:r>
      <w:r>
        <w:rPr>
          <w:rFonts w:hint="eastAsia" w:ascii="宋体" w:hAnsi="宋体" w:eastAsia="宋体" w:cs="宋体"/>
          <w:color w:val="000000"/>
          <w:sz w:val="24"/>
          <w:lang w:val="en-US" w:eastAsia="zh-CN"/>
        </w:rPr>
        <w:t>2021</w:t>
      </w:r>
      <w:r>
        <w:rPr>
          <w:rFonts w:hint="eastAsia" w:ascii="宋体" w:hAnsi="宋体" w:eastAsia="宋体" w:cs="宋体"/>
          <w:color w:val="000000"/>
          <w:sz w:val="24"/>
        </w:rPr>
        <w:t>年度</w:t>
      </w:r>
      <w:r>
        <w:rPr>
          <w:rFonts w:hint="eastAsia" w:ascii="宋体" w:hAnsi="宋体" w:eastAsia="宋体" w:cs="宋体"/>
          <w:color w:val="000000"/>
          <w:sz w:val="24"/>
          <w:lang w:eastAsia="zh-CN"/>
        </w:rPr>
        <w:t>年度</w:t>
      </w:r>
      <w:r>
        <w:rPr>
          <w:rFonts w:hint="eastAsia" w:ascii="宋体" w:hAnsi="宋体" w:eastAsia="宋体" w:cs="宋体"/>
          <w:color w:val="000000"/>
          <w:sz w:val="24"/>
        </w:rPr>
        <w:t>审计报告</w:t>
      </w:r>
      <w:r>
        <w:rPr>
          <w:rFonts w:hint="eastAsia" w:ascii="宋体" w:hAnsi="宋体" w:eastAsia="宋体" w:cs="宋体"/>
          <w:color w:val="000000"/>
          <w:sz w:val="24"/>
          <w:lang w:eastAsia="zh-CN"/>
        </w:rPr>
        <w:t>或</w:t>
      </w:r>
      <w:r>
        <w:rPr>
          <w:rFonts w:hint="eastAsia" w:ascii="宋体" w:hAnsi="宋体" w:eastAsia="宋体" w:cs="宋体"/>
          <w:color w:val="000000"/>
          <w:sz w:val="24"/>
          <w:lang w:val="en-US" w:eastAsia="zh-CN"/>
        </w:rPr>
        <w:t>2022年上半年度审计报告</w:t>
      </w:r>
    </w:p>
    <w:p>
      <w:pPr>
        <w:numPr>
          <w:ilvl w:val="0"/>
          <w:numId w:val="2"/>
        </w:numPr>
        <w:spacing w:line="540" w:lineRule="exact"/>
        <w:rPr>
          <w:rFonts w:hint="eastAsia" w:ascii="宋体" w:hAnsi="宋体" w:eastAsia="宋体" w:cs="宋体"/>
          <w:color w:val="000000"/>
          <w:sz w:val="24"/>
        </w:rPr>
      </w:pPr>
      <w:r>
        <w:rPr>
          <w:rFonts w:hint="eastAsia" w:ascii="宋体" w:hAnsi="宋体" w:eastAsia="宋体" w:cs="宋体"/>
          <w:color w:val="000000"/>
          <w:sz w:val="24"/>
        </w:rPr>
        <w:t>合作开发经验证明材料（加盖公章）</w:t>
      </w:r>
    </w:p>
    <w:p>
      <w:pPr>
        <w:numPr>
          <w:ilvl w:val="0"/>
          <w:numId w:val="0"/>
        </w:numPr>
        <w:spacing w:line="540" w:lineRule="exact"/>
        <w:rPr>
          <w:rFonts w:hint="eastAsia" w:ascii="宋体" w:hAnsi="宋体" w:eastAsia="宋体" w:cs="宋体"/>
          <w:color w:val="000000"/>
          <w:sz w:val="24"/>
        </w:rPr>
      </w:pPr>
      <w:r>
        <w:rPr>
          <w:rFonts w:hint="eastAsia" w:ascii="宋体" w:hAnsi="宋体" w:cs="宋体"/>
          <w:color w:val="000000"/>
          <w:sz w:val="24"/>
          <w:lang w:val="en-US" w:eastAsia="zh-CN"/>
        </w:rPr>
        <w:t>九</w:t>
      </w:r>
      <w:r>
        <w:rPr>
          <w:rFonts w:hint="eastAsia" w:ascii="宋体" w:hAnsi="宋体" w:eastAsia="宋体" w:cs="宋体"/>
          <w:color w:val="000000"/>
          <w:sz w:val="24"/>
        </w:rPr>
        <w:t>、拆迁补偿进度承诺函(加盖公章）</w:t>
      </w:r>
    </w:p>
    <w:p>
      <w:pPr>
        <w:spacing w:line="540" w:lineRule="exact"/>
        <w:rPr>
          <w:rFonts w:hint="eastAsia" w:ascii="宋体" w:hAnsi="宋体" w:eastAsia="宋体" w:cs="宋体"/>
          <w:color w:val="000000"/>
          <w:sz w:val="24"/>
          <w:lang w:eastAsia="zh-CN"/>
        </w:rPr>
      </w:pPr>
      <w:r>
        <w:rPr>
          <w:rFonts w:hint="eastAsia" w:ascii="宋体" w:hAnsi="宋体" w:eastAsia="宋体" w:cs="宋体"/>
          <w:color w:val="000000"/>
          <w:sz w:val="24"/>
        </w:rPr>
        <w:t>十、</w:t>
      </w:r>
      <w:r>
        <w:rPr>
          <w:rFonts w:hint="eastAsia" w:ascii="宋体" w:hAnsi="宋体" w:eastAsia="宋体" w:cs="宋体"/>
          <w:color w:val="000000"/>
          <w:sz w:val="24"/>
          <w:lang w:eastAsia="zh-CN"/>
        </w:rPr>
        <w:t>回迁物业交房进度承诺函（加盖公章）</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十</w:t>
      </w:r>
      <w:r>
        <w:rPr>
          <w:rFonts w:hint="eastAsia" w:ascii="宋体" w:hAnsi="宋体" w:cs="宋体"/>
          <w:color w:val="000000"/>
          <w:sz w:val="24"/>
          <w:lang w:val="en-US" w:eastAsia="zh-CN"/>
        </w:rPr>
        <w:t>一</w:t>
      </w:r>
      <w:r>
        <w:rPr>
          <w:rFonts w:hint="eastAsia" w:ascii="宋体" w:hAnsi="宋体" w:eastAsia="宋体" w:cs="宋体"/>
          <w:color w:val="000000"/>
          <w:sz w:val="24"/>
        </w:rPr>
        <w:t>、</w:t>
      </w:r>
      <w:r>
        <w:rPr>
          <w:rFonts w:hint="eastAsia" w:ascii="宋体" w:hAnsi="宋体" w:eastAsia="宋体" w:cs="宋体"/>
          <w:color w:val="000000"/>
          <w:sz w:val="24"/>
          <w:lang w:eastAsia="zh-CN"/>
        </w:rPr>
        <w:t>规划概念设计方案</w:t>
      </w:r>
    </w:p>
    <w:p>
      <w:pPr>
        <w:spacing w:line="540" w:lineRule="exact"/>
        <w:rPr>
          <w:rFonts w:hint="eastAsia" w:ascii="宋体" w:hAnsi="宋体" w:eastAsia="宋体" w:cs="宋体"/>
          <w:color w:val="000000"/>
          <w:sz w:val="24"/>
        </w:rPr>
      </w:pPr>
      <w:r>
        <w:rPr>
          <w:rFonts w:hint="eastAsia" w:ascii="宋体" w:hAnsi="宋体" w:eastAsia="宋体" w:cs="宋体"/>
          <w:color w:val="000000"/>
          <w:sz w:val="24"/>
        </w:rPr>
        <w:t>十</w:t>
      </w:r>
      <w:r>
        <w:rPr>
          <w:rFonts w:hint="eastAsia" w:ascii="宋体" w:hAnsi="宋体" w:cs="宋体"/>
          <w:color w:val="000000"/>
          <w:sz w:val="24"/>
          <w:lang w:val="en-US" w:eastAsia="zh-CN"/>
        </w:rPr>
        <w:t>二</w:t>
      </w:r>
      <w:r>
        <w:rPr>
          <w:rFonts w:hint="eastAsia" w:ascii="宋体" w:hAnsi="宋体" w:eastAsia="宋体" w:cs="宋体"/>
          <w:color w:val="000000"/>
          <w:sz w:val="24"/>
        </w:rPr>
        <w:t>、投标人认为需要提交的其他文件</w:t>
      </w:r>
    </w:p>
    <w:p>
      <w:pPr>
        <w:spacing w:line="540" w:lineRule="exact"/>
        <w:rPr>
          <w:rFonts w:hint="eastAsia" w:ascii="宋体" w:hAnsi="宋体" w:eastAsia="宋体" w:cs="宋体"/>
          <w:color w:val="000000"/>
        </w:rPr>
      </w:pPr>
    </w:p>
    <w:p>
      <w:pPr>
        <w:spacing w:line="540" w:lineRule="exact"/>
        <w:rPr>
          <w:rFonts w:hint="eastAsia" w:ascii="宋体" w:hAnsi="宋体" w:eastAsia="宋体" w:cs="宋体"/>
          <w:color w:val="000000"/>
        </w:rPr>
      </w:pPr>
    </w:p>
    <w:p>
      <w:pPr>
        <w:spacing w:line="540" w:lineRule="exact"/>
        <w:rPr>
          <w:rFonts w:hint="eastAsia" w:ascii="宋体" w:hAnsi="宋体" w:eastAsia="宋体" w:cs="宋体"/>
          <w:color w:val="000000"/>
        </w:rPr>
      </w:pPr>
    </w:p>
    <w:p>
      <w:pPr>
        <w:spacing w:line="540" w:lineRule="exact"/>
        <w:rPr>
          <w:rFonts w:hint="eastAsia" w:ascii="宋体" w:hAnsi="宋体" w:eastAsia="宋体" w:cs="宋体"/>
          <w:color w:val="000000"/>
        </w:rPr>
      </w:pPr>
    </w:p>
    <w:p>
      <w:pPr>
        <w:spacing w:line="540" w:lineRule="exact"/>
        <w:rPr>
          <w:rFonts w:hint="eastAsia" w:ascii="宋体" w:hAnsi="宋体" w:eastAsia="宋体" w:cs="宋体"/>
          <w:color w:val="000000"/>
        </w:rPr>
      </w:pPr>
      <w:r>
        <w:rPr>
          <w:rFonts w:hint="eastAsia" w:ascii="宋体" w:hAnsi="宋体" w:eastAsia="宋体" w:cs="宋体"/>
          <w:color w:val="000000"/>
        </w:rPr>
        <w:br w:type="page"/>
      </w:r>
    </w:p>
    <w:p>
      <w:pPr>
        <w:pStyle w:val="16"/>
        <w:jc w:val="center"/>
        <w:rPr>
          <w:rFonts w:hint="eastAsia" w:ascii="宋体" w:hAnsi="宋体" w:eastAsia="宋体" w:cs="宋体"/>
          <w:color w:val="000000"/>
        </w:rPr>
      </w:pPr>
      <w:bookmarkStart w:id="189" w:name="_Toc55238684"/>
      <w:r>
        <w:rPr>
          <w:rFonts w:hint="eastAsia" w:ascii="宋体" w:hAnsi="宋体" w:eastAsia="宋体" w:cs="宋体"/>
          <w:color w:val="000000"/>
        </w:rPr>
        <w:t>一、投标函</w:t>
      </w:r>
      <w:bookmarkEnd w:id="189"/>
    </w:p>
    <w:p>
      <w:pPr>
        <w:spacing w:line="440" w:lineRule="exact"/>
        <w:rPr>
          <w:rFonts w:hint="eastAsia" w:ascii="宋体" w:hAnsi="宋体" w:eastAsia="宋体" w:cs="宋体"/>
          <w:color w:val="000000"/>
        </w:rPr>
      </w:pPr>
    </w:p>
    <w:p>
      <w:pPr>
        <w:spacing w:line="440" w:lineRule="exact"/>
        <w:rPr>
          <w:rFonts w:hint="eastAsia" w:ascii="宋体" w:hAnsi="宋体" w:eastAsia="宋体" w:cs="宋体"/>
          <w:color w:val="000000"/>
          <w:sz w:val="24"/>
          <w:szCs w:val="24"/>
        </w:rPr>
      </w:pPr>
      <w:r>
        <w:rPr>
          <w:rFonts w:hint="eastAsia" w:ascii="宋体" w:hAnsi="宋体" w:eastAsia="宋体" w:cs="宋体"/>
          <w:sz w:val="24"/>
          <w:szCs w:val="24"/>
          <w:lang w:eastAsia="zh-CN"/>
        </w:rPr>
        <w:t>深圳市新南股份合作公司</w:t>
      </w:r>
      <w:r>
        <w:rPr>
          <w:rFonts w:hint="eastAsia" w:ascii="宋体" w:hAnsi="宋体" w:eastAsia="宋体" w:cs="宋体"/>
          <w:sz w:val="24"/>
          <w:szCs w:val="24"/>
        </w:rPr>
        <w:t>、</w:t>
      </w:r>
      <w:r>
        <w:rPr>
          <w:rFonts w:hint="eastAsia" w:ascii="宋体" w:hAnsi="宋体" w:eastAsia="宋体" w:cs="宋体"/>
          <w:sz w:val="24"/>
          <w:szCs w:val="24"/>
          <w:lang w:eastAsia="zh-CN"/>
        </w:rPr>
        <w:t>深圳交易集团有限公司龙岗分公司</w:t>
      </w:r>
      <w:r>
        <w:rPr>
          <w:rFonts w:hint="eastAsia" w:ascii="宋体" w:hAnsi="宋体" w:eastAsia="宋体" w:cs="宋体"/>
          <w:color w:val="000000"/>
          <w:sz w:val="24"/>
          <w:szCs w:val="24"/>
        </w:rPr>
        <w:t>：</w:t>
      </w:r>
    </w:p>
    <w:p>
      <w:pPr>
        <w:spacing w:line="44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rPr>
        <w:t>我方收到</w:t>
      </w:r>
      <w:r>
        <w:rPr>
          <w:rFonts w:hint="eastAsia" w:ascii="宋体" w:hAnsi="宋体" w:eastAsia="宋体" w:cs="宋体"/>
          <w:color w:val="000000"/>
          <w:sz w:val="24"/>
          <w:u w:val="single"/>
          <w:lang w:eastAsia="zh-CN"/>
        </w:rPr>
        <w:t>深圳市龙岗区平湖街道凤凰工业园城市更新项目</w:t>
      </w:r>
      <w:r>
        <w:rPr>
          <w:rFonts w:hint="eastAsia" w:ascii="宋体" w:hAnsi="宋体" w:eastAsia="宋体" w:cs="宋体"/>
          <w:color w:val="000000"/>
          <w:sz w:val="24"/>
        </w:rPr>
        <w:t>（项目编号：LGJY2022167301）的</w:t>
      </w:r>
      <w:r>
        <w:rPr>
          <w:rFonts w:hint="eastAsia" w:ascii="宋体" w:hAnsi="宋体" w:cs="宋体"/>
          <w:color w:val="000000"/>
          <w:sz w:val="24"/>
          <w:lang w:eastAsia="zh-CN"/>
        </w:rPr>
        <w:t>招标文件</w:t>
      </w:r>
      <w:r>
        <w:rPr>
          <w:rFonts w:hint="eastAsia" w:ascii="宋体" w:hAnsi="宋体" w:eastAsia="宋体" w:cs="宋体"/>
          <w:color w:val="000000"/>
          <w:sz w:val="24"/>
        </w:rPr>
        <w:t>，完全理解</w:t>
      </w:r>
      <w:r>
        <w:rPr>
          <w:rFonts w:hint="eastAsia" w:ascii="宋体" w:hAnsi="宋体" w:cs="宋体"/>
          <w:color w:val="000000"/>
          <w:sz w:val="24"/>
          <w:lang w:eastAsia="zh-CN"/>
        </w:rPr>
        <w:t>招标文件</w:t>
      </w:r>
      <w:r>
        <w:rPr>
          <w:rFonts w:hint="eastAsia" w:ascii="宋体" w:hAnsi="宋体" w:eastAsia="宋体" w:cs="宋体"/>
          <w:color w:val="000000"/>
          <w:sz w:val="24"/>
        </w:rPr>
        <w:t>的所有条款，决定参加该项目投标。据此我方承诺如下：</w:t>
      </w:r>
    </w:p>
    <w:p>
      <w:pPr>
        <w:spacing w:line="440" w:lineRule="exact"/>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rPr>
        <w:t>1、同意并接受</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的各项要求，遵守</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中的各项规定，按</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的要求提交投标文件，</w:t>
      </w:r>
      <w:r>
        <w:rPr>
          <w:rFonts w:hint="eastAsia" w:ascii="宋体" w:hAnsi="宋体" w:eastAsia="宋体" w:cs="宋体"/>
          <w:b/>
          <w:bCs/>
          <w:color w:val="000000"/>
          <w:sz w:val="24"/>
          <w:szCs w:val="24"/>
        </w:rPr>
        <w:t>承诺完全遵守</w:t>
      </w:r>
      <w:r>
        <w:rPr>
          <w:rFonts w:hint="eastAsia" w:ascii="宋体" w:hAnsi="宋体" w:cs="宋体"/>
          <w:b/>
          <w:bCs/>
          <w:color w:val="000000"/>
          <w:sz w:val="24"/>
          <w:szCs w:val="24"/>
          <w:lang w:eastAsia="zh-CN"/>
        </w:rPr>
        <w:t>招标文件</w:t>
      </w:r>
      <w:r>
        <w:rPr>
          <w:rFonts w:hint="eastAsia" w:ascii="宋体" w:hAnsi="宋体" w:eastAsia="宋体" w:cs="宋体"/>
          <w:b/>
          <w:bCs/>
          <w:color w:val="000000"/>
          <w:sz w:val="24"/>
          <w:szCs w:val="24"/>
          <w:highlight w:val="none"/>
        </w:rPr>
        <w:t>第</w:t>
      </w:r>
      <w:r>
        <w:rPr>
          <w:rFonts w:hint="eastAsia" w:ascii="宋体" w:hAnsi="宋体" w:cs="宋体"/>
          <w:b/>
          <w:bCs/>
          <w:color w:val="000000"/>
          <w:sz w:val="24"/>
          <w:szCs w:val="24"/>
          <w:highlight w:val="none"/>
          <w:lang w:val="en-US" w:eastAsia="zh-CN"/>
        </w:rPr>
        <w:t>二</w:t>
      </w:r>
      <w:r>
        <w:rPr>
          <w:rFonts w:hint="eastAsia" w:ascii="宋体" w:hAnsi="宋体" w:eastAsia="宋体" w:cs="宋体"/>
          <w:b/>
          <w:bCs/>
          <w:color w:val="000000"/>
          <w:sz w:val="24"/>
          <w:szCs w:val="24"/>
          <w:highlight w:val="none"/>
        </w:rPr>
        <w:t>部分“项目需求”及第</w:t>
      </w:r>
      <w:r>
        <w:rPr>
          <w:rFonts w:hint="eastAsia" w:ascii="宋体" w:hAnsi="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部分“合同”的要求</w:t>
      </w:r>
      <w:r>
        <w:rPr>
          <w:rFonts w:hint="eastAsia" w:ascii="宋体" w:hAnsi="宋体" w:eastAsia="宋体" w:cs="宋体"/>
          <w:color w:val="000000"/>
          <w:sz w:val="24"/>
          <w:szCs w:val="24"/>
          <w:highlight w:val="none"/>
        </w:rPr>
        <w:t>。</w:t>
      </w:r>
    </w:p>
    <w:p>
      <w:pPr>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2、我方在参与投标前已详细研究了</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的所有内容，包括澄清、修改文件（如果有）和所有已提供的参考资料以及有关附件，我方完全明白并认为此</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没有倾向性，也不存在排斥潜在投标供应商的内容，我方同意</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的相关条款，放弃对</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提出误解和异议的一切权力。</w:t>
      </w:r>
    </w:p>
    <w:p>
      <w:pPr>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3、我方投标文件在投标截止日后120天（日历天）内有效，如我方被确认为中标人，该投标有效期将延至本合同执行期满日为止。</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4、我方保证遵守投标人须知中关于不予退还</w:t>
      </w:r>
      <w:r>
        <w:rPr>
          <w:rFonts w:hint="eastAsia" w:ascii="宋体" w:hAnsi="宋体" w:eastAsia="宋体" w:cs="宋体"/>
          <w:sz w:val="24"/>
          <w:lang w:eastAsia="zh-CN"/>
        </w:rPr>
        <w:t>交易保证金</w:t>
      </w:r>
      <w:r>
        <w:rPr>
          <w:rFonts w:hint="eastAsia" w:ascii="宋体" w:hAnsi="宋体" w:eastAsia="宋体" w:cs="宋体"/>
          <w:sz w:val="24"/>
        </w:rPr>
        <w:t>的规定。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5、根据投标人须知规定，我方承诺无投标人须知规定禁止性情形。 </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6、我方承诺在本次投标中提供的一切文件，无论是原件还是复印件均为真实和准确的，绝无任何虚假、伪造和夸大的成份。</w:t>
      </w:r>
      <w:r>
        <w:rPr>
          <w:rFonts w:hint="eastAsia" w:ascii="宋体" w:hAnsi="宋体" w:eastAsia="宋体" w:cs="宋体"/>
          <w:sz w:val="24"/>
          <w:szCs w:val="24"/>
        </w:rPr>
        <w:t>由于我方提供资料不实而造成的责任和后果由我方承担。我方同意按照贵方提出的要求，提供与投标有关的任何其它数据或信息。</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szCs w:val="24"/>
        </w:rPr>
        <w:t>7、我方保证，招标人在中华人民共和国境内使用我方资料、技术、服务或其任何一部分时，享有不受限制的无偿使用权，如有第三方向招标人提出侵犯其专利权、商标权或其它知识产权的主张，该责任由我方承担。我方的投标报价已包含所有应向所有权人支付的专利权、商标权或其它知识产权的一切相关费用。</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8、我方完全服从和尊重评标委员会所作的评定结果，同时清楚理解到报价最高并非意味着必定获得中标资格。</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9、如我方中标，我方承诺：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（1）在收到中标通知书后，在中标通知书规定的期限内与招标人签订合同；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（2）在签订合同时不向招标人提出附加条件；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（3）按照</w:t>
      </w:r>
      <w:r>
        <w:rPr>
          <w:rFonts w:hint="eastAsia" w:ascii="宋体" w:hAnsi="宋体" w:cs="宋体"/>
          <w:sz w:val="24"/>
          <w:lang w:eastAsia="zh-CN"/>
        </w:rPr>
        <w:t>招标文件</w:t>
      </w:r>
      <w:r>
        <w:rPr>
          <w:rFonts w:hint="eastAsia" w:ascii="宋体" w:hAnsi="宋体" w:eastAsia="宋体" w:cs="宋体"/>
          <w:sz w:val="24"/>
        </w:rPr>
        <w:t>要求提交履约保证金（如果</w:t>
      </w:r>
      <w:r>
        <w:rPr>
          <w:rFonts w:hint="eastAsia" w:ascii="宋体" w:hAnsi="宋体" w:cs="宋体"/>
          <w:sz w:val="24"/>
          <w:lang w:eastAsia="zh-CN"/>
        </w:rPr>
        <w:t>招标文件</w:t>
      </w:r>
      <w:r>
        <w:rPr>
          <w:rFonts w:hint="eastAsia" w:ascii="宋体" w:hAnsi="宋体" w:eastAsia="宋体" w:cs="宋体"/>
          <w:sz w:val="24"/>
        </w:rPr>
        <w:t>有约定）；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（4）在合同约定的期限内完成合同规定的全部义务。</w:t>
      </w:r>
    </w:p>
    <w:p>
      <w:pPr>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sz w:val="24"/>
        </w:rPr>
        <w:t>10、我方同意按</w:t>
      </w:r>
      <w:r>
        <w:rPr>
          <w:rFonts w:hint="eastAsia" w:ascii="宋体" w:hAnsi="宋体" w:cs="宋体"/>
          <w:sz w:val="24"/>
          <w:lang w:eastAsia="zh-CN"/>
        </w:rPr>
        <w:t>招标文件</w:t>
      </w:r>
      <w:r>
        <w:rPr>
          <w:rFonts w:hint="eastAsia" w:ascii="宋体" w:hAnsi="宋体" w:eastAsia="宋体" w:cs="宋体"/>
          <w:sz w:val="24"/>
        </w:rPr>
        <w:t>规定支付交易服务费。</w:t>
      </w:r>
    </w:p>
    <w:p>
      <w:pPr>
        <w:spacing w:line="440" w:lineRule="exact"/>
        <w:rPr>
          <w:rFonts w:hint="eastAsia" w:ascii="宋体" w:hAnsi="宋体" w:eastAsia="宋体" w:cs="宋体"/>
          <w:color w:val="000000"/>
          <w:sz w:val="24"/>
          <w:szCs w:val="24"/>
        </w:rPr>
      </w:pPr>
    </w:p>
    <w:p>
      <w:pPr>
        <w:spacing w:line="440" w:lineRule="exact"/>
        <w:ind w:firstLine="720" w:firstLineChars="300"/>
        <w:jc w:val="right"/>
        <w:rPr>
          <w:rFonts w:hint="eastAsia" w:ascii="宋体" w:hAnsi="宋体" w:eastAsia="宋体" w:cs="宋体"/>
          <w:color w:val="000000"/>
          <w:sz w:val="24"/>
          <w:szCs w:val="24"/>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440" w:lineRule="exact"/>
        <w:ind w:firstLine="0" w:firstLineChars="0"/>
        <w:jc w:val="right"/>
        <w:rPr>
          <w:rFonts w:hint="eastAsia" w:ascii="宋体" w:hAnsi="宋体" w:eastAsia="宋体" w:cs="宋体"/>
          <w:color w:val="000000"/>
          <w:sz w:val="24"/>
          <w:szCs w:val="24"/>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spacing w:line="440" w:lineRule="exact"/>
        <w:rPr>
          <w:rFonts w:hint="eastAsia" w:ascii="宋体" w:hAnsi="宋体" w:eastAsia="宋体" w:cs="宋体"/>
          <w:color w:val="000000"/>
          <w:sz w:val="24"/>
          <w:szCs w:val="24"/>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color w:val="000000"/>
          <w:sz w:val="24"/>
          <w:szCs w:val="24"/>
        </w:rPr>
        <w:t xml:space="preserve">                                   日期：</w:t>
      </w:r>
    </w:p>
    <w:p>
      <w:pPr>
        <w:pStyle w:val="16"/>
        <w:keepNext/>
        <w:keepLines/>
        <w:pageBreakBefore w:val="0"/>
        <w:widowControl w:val="0"/>
        <w:kinsoku/>
        <w:wordWrap/>
        <w:overflowPunct/>
        <w:topLinePunct w:val="0"/>
        <w:autoSpaceDE/>
        <w:autoSpaceDN/>
        <w:bidi w:val="0"/>
        <w:adjustRightInd/>
        <w:snapToGrid/>
        <w:spacing w:before="0" w:after="313" w:afterLines="100"/>
        <w:jc w:val="center"/>
        <w:textAlignment w:val="auto"/>
        <w:rPr>
          <w:rFonts w:hint="eastAsia" w:ascii="宋体" w:hAnsi="宋体" w:eastAsia="宋体" w:cs="宋体"/>
          <w:b/>
          <w:bCs/>
          <w:color w:val="000000"/>
        </w:rPr>
      </w:pPr>
      <w:bookmarkStart w:id="190" w:name="_Toc55238685"/>
      <w:r>
        <w:rPr>
          <w:rFonts w:hint="eastAsia" w:ascii="宋体" w:hAnsi="宋体" w:eastAsia="宋体" w:cs="宋体"/>
          <w:b/>
          <w:bCs/>
          <w:color w:val="000000"/>
        </w:rPr>
        <w:t>二、</w:t>
      </w:r>
      <w:r>
        <w:rPr>
          <w:rFonts w:hint="eastAsia" w:ascii="宋体" w:hAnsi="宋体" w:eastAsia="宋体" w:cs="宋体"/>
          <w:b/>
          <w:bCs/>
          <w:color w:val="000000"/>
          <w:lang w:val="en-US" w:eastAsia="zh-CN"/>
        </w:rPr>
        <w:t>投标报价</w:t>
      </w:r>
      <w:r>
        <w:rPr>
          <w:rFonts w:hint="eastAsia" w:ascii="宋体" w:hAnsi="宋体" w:eastAsia="宋体" w:cs="宋体"/>
          <w:b/>
          <w:bCs/>
          <w:color w:val="000000"/>
        </w:rPr>
        <w:t>表</w:t>
      </w:r>
      <w:bookmarkEnd w:id="190"/>
    </w:p>
    <w:p>
      <w:pPr>
        <w:rPr>
          <w:rFonts w:hint="eastAsia" w:ascii="宋体" w:hAnsi="宋体" w:eastAsia="宋体" w:cs="宋体"/>
          <w:color w:val="000000"/>
          <w:sz w:val="24"/>
          <w:szCs w:val="24"/>
          <w:lang w:eastAsia="zh-CN"/>
        </w:rPr>
      </w:pPr>
      <w:r>
        <w:rPr>
          <w:rFonts w:hint="eastAsia" w:ascii="宋体" w:hAnsi="宋体" w:eastAsia="宋体" w:cs="宋体"/>
          <w:sz w:val="24"/>
        </w:rPr>
        <w:t>项目名称：</w:t>
      </w:r>
      <w:r>
        <w:rPr>
          <w:rFonts w:hint="eastAsia" w:ascii="宋体" w:hAnsi="宋体" w:eastAsia="宋体" w:cs="宋体"/>
          <w:color w:val="000000"/>
          <w:sz w:val="24"/>
          <w:szCs w:val="24"/>
          <w:lang w:eastAsia="zh-CN"/>
        </w:rPr>
        <w:t>深圳市龙岗区平湖街道凤凰工业园城市更新项目</w:t>
      </w:r>
    </w:p>
    <w:p>
      <w:pPr>
        <w:rPr>
          <w:rFonts w:hint="eastAsia" w:ascii="宋体" w:hAnsi="宋体" w:eastAsia="宋体" w:cs="宋体"/>
          <w:sz w:val="24"/>
        </w:rPr>
      </w:pPr>
      <w:r>
        <w:rPr>
          <w:rFonts w:hint="eastAsia" w:ascii="宋体" w:hAnsi="宋体" w:eastAsia="宋体" w:cs="宋体"/>
          <w:color w:val="000000"/>
          <w:sz w:val="24"/>
          <w:szCs w:val="24"/>
        </w:rPr>
        <w:t>项目编号：LGJY2022167301</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1958"/>
        <w:gridCol w:w="311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4160" w:type="dxa"/>
            <w:gridSpan w:val="2"/>
            <w:noWrap w:val="0"/>
            <w:vAlign w:val="center"/>
          </w:tcPr>
          <w:p>
            <w:pPr>
              <w:spacing w:line="280" w:lineRule="exact"/>
              <w:jc w:val="center"/>
              <w:rPr>
                <w:rFonts w:hint="eastAsia" w:ascii="宋体" w:hAnsi="宋体" w:eastAsia="宋体" w:cs="宋体"/>
                <w:sz w:val="24"/>
                <w:szCs w:val="24"/>
              </w:rPr>
            </w:pPr>
            <w:r>
              <w:rPr>
                <w:rFonts w:hint="eastAsia" w:ascii="宋体" w:hAnsi="宋体" w:eastAsia="宋体" w:cs="宋体"/>
                <w:color w:val="000000"/>
                <w:kern w:val="0"/>
                <w:sz w:val="24"/>
                <w:lang w:eastAsia="zh-CN"/>
              </w:rPr>
              <w:t>货币补偿</w:t>
            </w:r>
          </w:p>
        </w:tc>
        <w:tc>
          <w:tcPr>
            <w:tcW w:w="3111" w:type="dxa"/>
            <w:noWrap w:val="0"/>
            <w:vAlign w:val="center"/>
          </w:tcPr>
          <w:p>
            <w:pPr>
              <w:spacing w:line="280" w:lineRule="exact"/>
              <w:jc w:val="center"/>
              <w:rPr>
                <w:rFonts w:hint="eastAsia" w:ascii="宋体" w:hAnsi="宋体" w:eastAsia="宋体" w:cs="宋体"/>
                <w:sz w:val="24"/>
                <w:szCs w:val="24"/>
              </w:rPr>
            </w:pPr>
          </w:p>
        </w:tc>
        <w:tc>
          <w:tcPr>
            <w:tcW w:w="1023" w:type="dxa"/>
            <w:noWrap w:val="0"/>
            <w:vAlign w:val="center"/>
          </w:tcPr>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2202" w:type="dxa"/>
            <w:vMerge w:val="restart"/>
            <w:noWrap w:val="0"/>
            <w:vAlign w:val="center"/>
          </w:tcPr>
          <w:p>
            <w:pPr>
              <w:spacing w:line="280" w:lineRule="exact"/>
              <w:jc w:val="center"/>
              <w:rPr>
                <w:rFonts w:hint="eastAsia" w:ascii="宋体" w:hAnsi="宋体" w:eastAsia="宋体" w:cs="宋体"/>
                <w:color w:val="000000"/>
                <w:kern w:val="0"/>
                <w:sz w:val="24"/>
                <w:lang w:eastAsia="zh-CN"/>
              </w:rPr>
            </w:pPr>
            <w:r>
              <w:rPr>
                <w:rFonts w:hint="eastAsia" w:ascii="宋体" w:hAnsi="宋体" w:eastAsia="宋体" w:cs="宋体"/>
                <w:color w:val="000000"/>
                <w:kern w:val="0"/>
                <w:sz w:val="24"/>
                <w:lang w:eastAsia="zh-CN"/>
              </w:rPr>
              <w:t>回迁物业</w:t>
            </w:r>
          </w:p>
        </w:tc>
        <w:tc>
          <w:tcPr>
            <w:tcW w:w="1958" w:type="dxa"/>
            <w:noWrap w:val="0"/>
            <w:vAlign w:val="center"/>
          </w:tcPr>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商业</w:t>
            </w:r>
          </w:p>
        </w:tc>
        <w:tc>
          <w:tcPr>
            <w:tcW w:w="3111" w:type="dxa"/>
            <w:noWrap w:val="0"/>
            <w:vAlign w:val="center"/>
          </w:tcPr>
          <w:p>
            <w:pPr>
              <w:spacing w:line="280" w:lineRule="exact"/>
              <w:jc w:val="center"/>
              <w:rPr>
                <w:rFonts w:hint="eastAsia" w:ascii="宋体" w:hAnsi="宋体" w:eastAsia="宋体" w:cs="宋体"/>
                <w:sz w:val="24"/>
                <w:szCs w:val="24"/>
              </w:rPr>
            </w:pPr>
          </w:p>
        </w:tc>
        <w:tc>
          <w:tcPr>
            <w:tcW w:w="1023" w:type="dxa"/>
            <w:noWrap w:val="0"/>
            <w:vAlign w:val="center"/>
          </w:tcPr>
          <w:p>
            <w:pPr>
              <w:spacing w:line="28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202" w:type="dxa"/>
            <w:vMerge w:val="continue"/>
            <w:noWrap w:val="0"/>
            <w:vAlign w:val="center"/>
          </w:tcPr>
          <w:p>
            <w:pPr>
              <w:spacing w:line="280" w:lineRule="exact"/>
              <w:jc w:val="center"/>
              <w:rPr>
                <w:rFonts w:hint="eastAsia" w:ascii="宋体" w:hAnsi="宋体" w:eastAsia="宋体" w:cs="宋体"/>
                <w:color w:val="000000"/>
                <w:kern w:val="0"/>
                <w:sz w:val="24"/>
              </w:rPr>
            </w:pPr>
          </w:p>
        </w:tc>
        <w:tc>
          <w:tcPr>
            <w:tcW w:w="1958" w:type="dxa"/>
            <w:noWrap w:val="0"/>
            <w:vAlign w:val="center"/>
          </w:tcPr>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住宅（含装修）</w:t>
            </w:r>
          </w:p>
        </w:tc>
        <w:tc>
          <w:tcPr>
            <w:tcW w:w="3111" w:type="dxa"/>
            <w:noWrap w:val="0"/>
            <w:vAlign w:val="center"/>
          </w:tcPr>
          <w:p>
            <w:pPr>
              <w:spacing w:line="280" w:lineRule="exact"/>
              <w:jc w:val="center"/>
              <w:rPr>
                <w:rFonts w:hint="eastAsia" w:ascii="宋体" w:hAnsi="宋体" w:eastAsia="宋体" w:cs="宋体"/>
                <w:sz w:val="24"/>
                <w:szCs w:val="24"/>
              </w:rPr>
            </w:pPr>
          </w:p>
        </w:tc>
        <w:tc>
          <w:tcPr>
            <w:tcW w:w="1023" w:type="dxa"/>
            <w:noWrap w:val="0"/>
            <w:vAlign w:val="center"/>
          </w:tcPr>
          <w:p>
            <w:pPr>
              <w:spacing w:line="28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202" w:type="dxa"/>
            <w:vMerge w:val="continue"/>
            <w:noWrap w:val="0"/>
            <w:vAlign w:val="center"/>
          </w:tcPr>
          <w:p>
            <w:pPr>
              <w:spacing w:line="280" w:lineRule="exact"/>
              <w:jc w:val="center"/>
              <w:rPr>
                <w:rFonts w:hint="eastAsia" w:ascii="宋体" w:hAnsi="宋体" w:eastAsia="宋体" w:cs="宋体"/>
                <w:color w:val="000000"/>
                <w:kern w:val="0"/>
                <w:sz w:val="24"/>
              </w:rPr>
            </w:pPr>
          </w:p>
        </w:tc>
        <w:tc>
          <w:tcPr>
            <w:tcW w:w="1958" w:type="dxa"/>
            <w:noWrap w:val="0"/>
            <w:vAlign w:val="center"/>
          </w:tcPr>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办公</w:t>
            </w:r>
          </w:p>
        </w:tc>
        <w:tc>
          <w:tcPr>
            <w:tcW w:w="3111" w:type="dxa"/>
            <w:noWrap w:val="0"/>
            <w:vAlign w:val="center"/>
          </w:tcPr>
          <w:p>
            <w:pPr>
              <w:spacing w:line="280" w:lineRule="exact"/>
              <w:jc w:val="center"/>
              <w:rPr>
                <w:rFonts w:hint="eastAsia" w:ascii="宋体" w:hAnsi="宋体" w:eastAsia="宋体" w:cs="宋体"/>
                <w:sz w:val="24"/>
                <w:szCs w:val="24"/>
              </w:rPr>
            </w:pPr>
          </w:p>
        </w:tc>
        <w:tc>
          <w:tcPr>
            <w:tcW w:w="1023" w:type="dxa"/>
            <w:noWrap w:val="0"/>
            <w:vAlign w:val="center"/>
          </w:tcPr>
          <w:p>
            <w:pPr>
              <w:spacing w:line="28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4160" w:type="dxa"/>
            <w:gridSpan w:val="2"/>
            <w:noWrap w:val="0"/>
            <w:vAlign w:val="center"/>
          </w:tcPr>
          <w:p>
            <w:pPr>
              <w:spacing w:line="280" w:lineRule="exact"/>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合计总价值</w:t>
            </w:r>
          </w:p>
        </w:tc>
        <w:tc>
          <w:tcPr>
            <w:tcW w:w="3111" w:type="dxa"/>
            <w:noWrap w:val="0"/>
            <w:vAlign w:val="center"/>
          </w:tcPr>
          <w:p>
            <w:pPr>
              <w:spacing w:line="280" w:lineRule="exact"/>
              <w:jc w:val="center"/>
              <w:rPr>
                <w:rFonts w:hint="eastAsia" w:ascii="宋体" w:hAnsi="宋体" w:eastAsia="宋体" w:cs="宋体"/>
                <w:sz w:val="24"/>
                <w:szCs w:val="24"/>
              </w:rPr>
            </w:pPr>
          </w:p>
        </w:tc>
        <w:tc>
          <w:tcPr>
            <w:tcW w:w="1023" w:type="dxa"/>
            <w:noWrap w:val="0"/>
            <w:vAlign w:val="center"/>
          </w:tcPr>
          <w:p>
            <w:pPr>
              <w:spacing w:line="280" w:lineRule="exact"/>
              <w:jc w:val="center"/>
              <w:rPr>
                <w:rFonts w:hint="eastAsia" w:ascii="宋体" w:hAnsi="宋体" w:eastAsia="宋体" w:cs="宋体"/>
                <w:sz w:val="24"/>
                <w:szCs w:val="24"/>
              </w:rPr>
            </w:pPr>
          </w:p>
        </w:tc>
      </w:tr>
    </w:tbl>
    <w:p>
      <w:pPr>
        <w:rPr>
          <w:rFonts w:hint="eastAsia" w:ascii="宋体" w:hAnsi="宋体" w:eastAsia="宋体" w:cs="宋体"/>
          <w:b/>
          <w:bCs/>
          <w:color w:val="000000"/>
          <w:sz w:val="24"/>
        </w:rPr>
      </w:pPr>
      <w:r>
        <w:rPr>
          <w:rFonts w:hint="eastAsia" w:ascii="宋体" w:hAnsi="宋体" w:eastAsia="宋体" w:cs="宋体"/>
          <w:b/>
          <w:bCs/>
          <w:color w:val="000000"/>
          <w:sz w:val="24"/>
        </w:rPr>
        <w:t>特别提醒：货币单位为人民币。</w:t>
      </w:r>
    </w:p>
    <w:p>
      <w:pPr>
        <w:numPr>
          <w:ilvl w:val="0"/>
          <w:numId w:val="0"/>
        </w:numPr>
        <w:snapToGrid/>
        <w:spacing w:line="240" w:lineRule="auto"/>
        <w:ind w:firstLine="0" w:firstLineChars="0"/>
        <w:rPr>
          <w:rFonts w:hint="eastAsia" w:ascii="宋体" w:hAnsi="宋体" w:eastAsia="宋体" w:cs="宋体"/>
          <w:b/>
          <w:bCs/>
          <w:color w:val="000000"/>
          <w:sz w:val="24"/>
          <w:szCs w:val="24"/>
        </w:rPr>
      </w:pPr>
      <w:bookmarkStart w:id="191" w:name="_Hlk55224826"/>
      <w:r>
        <w:rPr>
          <w:rFonts w:hint="eastAsia" w:ascii="宋体" w:hAnsi="宋体" w:eastAsia="宋体" w:cs="宋体"/>
          <w:b/>
          <w:bCs/>
          <w:color w:val="000000"/>
          <w:sz w:val="24"/>
          <w:szCs w:val="24"/>
        </w:rPr>
        <w:t>注：</w:t>
      </w:r>
    </w:p>
    <w:p>
      <w:pPr>
        <w:numPr>
          <w:ilvl w:val="0"/>
          <w:numId w:val="0"/>
        </w:numPr>
        <w:snapToGrid/>
        <w:spacing w:line="240" w:lineRule="auto"/>
        <w:ind w:firstLine="0" w:firstLineChars="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1.</w:t>
      </w:r>
      <w:r>
        <w:rPr>
          <w:rFonts w:hint="eastAsia" w:ascii="宋体" w:hAnsi="宋体" w:eastAsia="宋体" w:cs="宋体"/>
          <w:b/>
          <w:bCs/>
          <w:color w:val="000000"/>
          <w:sz w:val="24"/>
          <w:szCs w:val="24"/>
        </w:rPr>
        <w:t>本项目</w:t>
      </w:r>
      <w:r>
        <w:rPr>
          <w:rFonts w:hint="eastAsia" w:ascii="宋体" w:hAnsi="宋体" w:eastAsia="宋体" w:cs="宋体"/>
          <w:b/>
          <w:bCs/>
          <w:color w:val="000000"/>
          <w:sz w:val="24"/>
          <w:szCs w:val="24"/>
          <w:lang w:val="zh-TW"/>
        </w:rPr>
        <w:t>招商底价由</w:t>
      </w:r>
      <w:r>
        <w:rPr>
          <w:rFonts w:hint="eastAsia" w:ascii="宋体" w:hAnsi="宋体" w:eastAsia="宋体" w:cs="宋体"/>
          <w:b/>
          <w:bCs/>
          <w:color w:val="000000"/>
          <w:sz w:val="24"/>
          <w:szCs w:val="24"/>
          <w:lang w:val="zh-TW" w:eastAsia="zh-CN"/>
        </w:rPr>
        <w:t>回迁物业</w:t>
      </w:r>
      <w:r>
        <w:rPr>
          <w:rFonts w:hint="eastAsia" w:ascii="宋体" w:hAnsi="宋体" w:eastAsia="宋体" w:cs="宋体"/>
          <w:b/>
          <w:bCs/>
          <w:color w:val="000000"/>
          <w:sz w:val="24"/>
          <w:szCs w:val="24"/>
          <w:lang w:val="en-US" w:eastAsia="zh-CN"/>
        </w:rPr>
        <w:t>+货币补偿构成。以回迁商业建筑面积18000平方米、回迁办公建筑面积21440平方米、回迁住宅建筑面积66560平方米（回迁住宅按建筑面积2000元/平方米装修市场价值进行装修）及现金补偿金额人民币8457.2万元为招商底价。</w:t>
      </w:r>
    </w:p>
    <w:p>
      <w:pPr>
        <w:numPr>
          <w:ilvl w:val="0"/>
          <w:numId w:val="0"/>
        </w:numPr>
        <w:snapToGrid/>
        <w:spacing w:line="240" w:lineRule="auto"/>
        <w:ind w:firstLine="0" w:firstLineChars="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两者价值之和不得低于人民币4,445,459,500元，即回迁物业（含住宅装修）和货币补偿二项需同时满足。</w:t>
      </w:r>
    </w:p>
    <w:p>
      <w:pPr>
        <w:numPr>
          <w:ilvl w:val="0"/>
          <w:numId w:val="0"/>
        </w:numPr>
        <w:snapToGrid/>
        <w:spacing w:line="240" w:lineRule="auto"/>
        <w:ind w:firstLine="0" w:firstLineChars="0"/>
        <w:rPr>
          <w:rFonts w:hint="eastAsia" w:ascii="宋体" w:hAnsi="宋体" w:eastAsia="宋体" w:cs="宋体"/>
          <w:b/>
          <w:bCs/>
          <w:color w:val="000000"/>
          <w:sz w:val="24"/>
        </w:rPr>
      </w:pPr>
      <w:r>
        <w:rPr>
          <w:rFonts w:hint="eastAsia" w:ascii="宋体" w:hAnsi="宋体" w:eastAsia="宋体" w:cs="宋体"/>
          <w:b/>
          <w:bCs/>
          <w:color w:val="000000"/>
          <w:sz w:val="24"/>
          <w:szCs w:val="24"/>
          <w:lang w:val="en-US" w:eastAsia="zh-CN"/>
        </w:rPr>
        <w:t>2.物业分成类型应为：住宅、商业与办公物业，报价总价值按照物业总价值与现金之和计算，</w:t>
      </w:r>
      <w:r>
        <w:rPr>
          <w:rFonts w:hint="eastAsia" w:ascii="宋体" w:hAnsi="宋体" w:eastAsia="宋体" w:cs="宋体"/>
          <w:b/>
          <w:bCs/>
          <w:color w:val="000000"/>
          <w:sz w:val="24"/>
          <w:szCs w:val="24"/>
        </w:rPr>
        <w:t>物业价值</w:t>
      </w:r>
      <w:r>
        <w:rPr>
          <w:rFonts w:hint="eastAsia" w:ascii="宋体" w:hAnsi="宋体" w:eastAsia="宋体" w:cs="宋体"/>
          <w:b/>
          <w:bCs/>
          <w:color w:val="000000"/>
          <w:sz w:val="24"/>
          <w:szCs w:val="24"/>
          <w:lang w:val="en-US" w:eastAsia="zh-CN"/>
        </w:rPr>
        <w:t>按照住宅物业评估单价为40000元/㎡。办公物业评估单价为28000元/㎡。01地块商业为双首层设计，共三层商业：首层商业（临凤凰大道）评估单价为58000元/㎡，首层商业（临规划一路）评估单价为58000元/㎡，第二层商业评估单价为43500元/㎡的单价</w:t>
      </w:r>
      <w:r>
        <w:rPr>
          <w:rFonts w:hint="eastAsia" w:ascii="宋体" w:hAnsi="宋体" w:eastAsia="宋体" w:cs="宋体"/>
          <w:b/>
          <w:bCs/>
          <w:color w:val="000000"/>
          <w:sz w:val="24"/>
          <w:szCs w:val="24"/>
        </w:rPr>
        <w:t>换算</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 xml:space="preserve">。 </w:t>
      </w:r>
    </w:p>
    <w:bookmarkEnd w:id="191"/>
    <w:p>
      <w:pPr>
        <w:ind w:firstLine="0" w:firstLineChars="0"/>
        <w:rPr>
          <w:rFonts w:hint="eastAsia" w:ascii="宋体" w:hAnsi="宋体" w:eastAsia="宋体" w:cs="宋体"/>
          <w:b/>
          <w:bCs/>
          <w:color w:val="000000"/>
          <w:sz w:val="24"/>
        </w:rPr>
      </w:pPr>
    </w:p>
    <w:p>
      <w:pPr>
        <w:adjustRightInd w:val="0"/>
        <w:snapToGrid w:val="0"/>
        <w:spacing w:line="520" w:lineRule="atLeast"/>
        <w:ind w:firstLine="10560" w:firstLineChars="4400"/>
        <w:rPr>
          <w:rFonts w:hint="eastAsia" w:ascii="宋体" w:hAnsi="宋体" w:eastAsia="宋体" w:cs="宋体"/>
          <w:color w:val="000000"/>
          <w:sz w:val="24"/>
          <w:szCs w:val="24"/>
        </w:rPr>
      </w:pPr>
    </w:p>
    <w:p>
      <w:pPr>
        <w:adjustRightInd w:val="0"/>
        <w:snapToGrid w:val="0"/>
        <w:spacing w:line="520" w:lineRule="atLeast"/>
        <w:ind w:firstLine="10560" w:firstLineChars="4400"/>
        <w:rPr>
          <w:rFonts w:hint="eastAsia" w:ascii="宋体" w:hAnsi="宋体" w:eastAsia="宋体" w:cs="宋体"/>
          <w:color w:val="000000"/>
          <w:sz w:val="24"/>
          <w:szCs w:val="24"/>
        </w:rPr>
      </w:pPr>
    </w:p>
    <w:p>
      <w:pPr>
        <w:adjustRightInd w:val="0"/>
        <w:snapToGrid w:val="0"/>
        <w:spacing w:line="520" w:lineRule="atLeast"/>
        <w:ind w:left="0" w:leftChars="0" w:firstLine="0" w:firstLineChars="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（盖单位章）</w:t>
      </w:r>
    </w:p>
    <w:p>
      <w:pPr>
        <w:wordWrap w:val="0"/>
        <w:adjustRightInd w:val="0"/>
        <w:snapToGrid w:val="0"/>
        <w:spacing w:line="520" w:lineRule="atLeast"/>
        <w:ind w:left="0" w:leftChars="0" w:right="105" w:firstLine="0" w:firstLineChars="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（签字）</w:t>
      </w:r>
    </w:p>
    <w:p>
      <w:pPr>
        <w:wordWrap w:val="0"/>
        <w:jc w:val="right"/>
        <w:rPr>
          <w:rFonts w:hint="eastAsia" w:ascii="宋体" w:hAnsi="宋体" w:eastAsia="宋体" w:cs="宋体"/>
          <w:color w:val="000000"/>
          <w:sz w:val="24"/>
          <w:szCs w:val="24"/>
        </w:rPr>
      </w:pPr>
    </w:p>
    <w:p>
      <w:pPr>
        <w:spacing w:line="440" w:lineRule="exact"/>
        <w:ind w:left="0" w:leftChars="0" w:right="-76" w:rightChars="-36" w:firstLine="0" w:firstLineChars="0"/>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 xml:space="preserve">日期：  </w:t>
      </w:r>
    </w:p>
    <w:p>
      <w:pPr>
        <w:jc w:val="right"/>
        <w:rPr>
          <w:rFonts w:hint="eastAsia" w:ascii="宋体" w:hAnsi="宋体" w:eastAsia="宋体" w:cs="宋体"/>
          <w:color w:val="000000"/>
          <w:sz w:val="24"/>
          <w:szCs w:val="24"/>
        </w:rPr>
        <w:sectPr>
          <w:pgSz w:w="11906" w:h="16838"/>
          <w:pgMar w:top="1440" w:right="1800" w:bottom="1440" w:left="1800" w:header="851" w:footer="992" w:gutter="0"/>
          <w:cols w:space="720" w:num="1"/>
          <w:docGrid w:type="lines" w:linePitch="312" w:charSpace="0"/>
        </w:sectPr>
      </w:pPr>
    </w:p>
    <w:p>
      <w:pPr>
        <w:jc w:val="center"/>
        <w:rPr>
          <w:rFonts w:hint="eastAsia" w:ascii="宋体" w:hAnsi="宋体" w:eastAsia="宋体" w:cs="宋体"/>
          <w:color w:val="000000"/>
          <w:sz w:val="28"/>
          <w:szCs w:val="20"/>
        </w:rPr>
      </w:pPr>
    </w:p>
    <w:p>
      <w:pPr>
        <w:pStyle w:val="16"/>
        <w:jc w:val="center"/>
        <w:rPr>
          <w:rFonts w:hint="eastAsia" w:ascii="宋体" w:hAnsi="宋体" w:eastAsia="宋体" w:cs="宋体"/>
          <w:color w:val="000000"/>
        </w:rPr>
      </w:pPr>
      <w:bookmarkStart w:id="192" w:name="_Toc55238686"/>
      <w:r>
        <w:rPr>
          <w:rFonts w:hint="eastAsia" w:ascii="宋体" w:hAnsi="宋体" w:eastAsia="宋体" w:cs="宋体"/>
          <w:color w:val="000000"/>
        </w:rPr>
        <w:t>三、集体所得利益保障承诺</w:t>
      </w:r>
      <w:bookmarkEnd w:id="192"/>
    </w:p>
    <w:p>
      <w:pPr>
        <w:spacing w:line="440" w:lineRule="exact"/>
        <w:rPr>
          <w:rFonts w:hint="eastAsia" w:ascii="宋体" w:hAnsi="宋体" w:eastAsia="宋体" w:cs="宋体"/>
          <w:szCs w:val="21"/>
        </w:rPr>
      </w:pPr>
    </w:p>
    <w:p>
      <w:pPr>
        <w:spacing w:line="400" w:lineRule="exact"/>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深圳市新南股份合作公司</w:t>
      </w:r>
      <w:r>
        <w:rPr>
          <w:rFonts w:hint="eastAsia" w:ascii="宋体" w:hAnsi="宋体" w:eastAsia="宋体" w:cs="宋体"/>
          <w:color w:val="000000"/>
          <w:sz w:val="24"/>
          <w:szCs w:val="24"/>
        </w:rPr>
        <w:t>、</w:t>
      </w:r>
      <w:r>
        <w:rPr>
          <w:rFonts w:hint="eastAsia" w:ascii="宋体" w:hAnsi="宋体" w:eastAsia="宋体" w:cs="宋体"/>
          <w:sz w:val="24"/>
          <w:szCs w:val="24"/>
          <w:lang w:eastAsia="zh-CN"/>
        </w:rPr>
        <w:t>深圳交易集团有限公司龙岗分公司</w:t>
      </w:r>
      <w:r>
        <w:rPr>
          <w:rFonts w:hint="eastAsia" w:ascii="宋体" w:hAnsi="宋体" w:eastAsia="宋体" w:cs="宋体"/>
          <w:color w:val="000000"/>
          <w:sz w:val="24"/>
          <w:szCs w:val="24"/>
        </w:rPr>
        <w:t>：</w:t>
      </w:r>
    </w:p>
    <w:p>
      <w:pPr>
        <w:spacing w:line="400" w:lineRule="exact"/>
        <w:ind w:firstLine="484" w:firstLineChars="202"/>
        <w:rPr>
          <w:rFonts w:hint="eastAsia" w:ascii="宋体" w:hAnsi="宋体" w:eastAsia="宋体" w:cs="宋体"/>
          <w:color w:val="000000"/>
          <w:sz w:val="24"/>
        </w:rPr>
      </w:pPr>
      <w:r>
        <w:rPr>
          <w:rFonts w:hint="eastAsia" w:ascii="宋体" w:hAnsi="宋体" w:eastAsia="宋体" w:cs="宋体"/>
          <w:color w:val="000000"/>
          <w:sz w:val="24"/>
        </w:rPr>
        <w:t>如我方中标</w:t>
      </w:r>
      <w:r>
        <w:rPr>
          <w:rFonts w:hint="eastAsia" w:ascii="宋体" w:hAnsi="宋体" w:eastAsia="宋体" w:cs="宋体"/>
          <w:color w:val="333333"/>
          <w:sz w:val="24"/>
          <w:szCs w:val="24"/>
          <w:u w:val="single"/>
          <w:shd w:val="clear" w:color="auto" w:fill="FFFFFF"/>
          <w:lang w:eastAsia="zh-CN"/>
        </w:rPr>
        <w:t>深圳市龙岗区平湖街道凤凰工业园城市更新项目</w:t>
      </w:r>
      <w:r>
        <w:rPr>
          <w:rFonts w:hint="eastAsia" w:ascii="宋体" w:hAnsi="宋体" w:eastAsia="宋体" w:cs="宋体"/>
          <w:color w:val="000000"/>
          <w:sz w:val="24"/>
        </w:rPr>
        <w:t>（项目编号：</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 xml:space="preserve"> ），我方就集体所得利益保障承诺如下：</w:t>
      </w:r>
    </w:p>
    <w:p>
      <w:pPr>
        <w:spacing w:line="400" w:lineRule="exact"/>
        <w:ind w:firstLine="484" w:firstLineChars="202"/>
        <w:rPr>
          <w:rFonts w:hint="eastAsia" w:ascii="宋体" w:hAnsi="宋体" w:eastAsia="宋体" w:cs="宋体"/>
          <w:color w:val="000000"/>
          <w:sz w:val="24"/>
          <w:szCs w:val="24"/>
        </w:rPr>
      </w:pPr>
      <w:r>
        <w:rPr>
          <w:rFonts w:hint="eastAsia" w:ascii="宋体" w:hAnsi="宋体" w:eastAsia="宋体" w:cs="宋体"/>
          <w:color w:val="000000"/>
          <w:sz w:val="24"/>
          <w:szCs w:val="24"/>
        </w:rPr>
        <w:t>若因专项规划调整导致可售建筑面积（包括回迁物业）减少的，招商方及7个自然村股份公司根据招商结果应分得的回迁物业不减少；若因专项规划调整导致可售建筑面积（包括回迁物业）增加的，则增加部分按照招商方及7个自然村股份公司根据招商结果应分得的物业总面积与可售总建筑面积（包括回迁物业）同比例分配给招商方及7个自然村股份公司。</w:t>
      </w:r>
    </w:p>
    <w:p>
      <w:pPr>
        <w:spacing w:line="400" w:lineRule="exact"/>
        <w:ind w:firstLine="484" w:firstLineChars="202"/>
        <w:rPr>
          <w:rFonts w:hint="eastAsia" w:ascii="宋体" w:hAnsi="宋体" w:eastAsia="宋体" w:cs="宋体"/>
          <w:color w:val="000000"/>
          <w:sz w:val="24"/>
        </w:rPr>
      </w:pPr>
    </w:p>
    <w:p>
      <w:pPr>
        <w:spacing w:line="400" w:lineRule="exact"/>
        <w:ind w:firstLine="484" w:firstLineChars="202"/>
        <w:rPr>
          <w:rFonts w:hint="eastAsia" w:ascii="宋体" w:hAnsi="宋体" w:eastAsia="宋体" w:cs="宋体"/>
          <w:sz w:val="24"/>
        </w:rPr>
      </w:pPr>
    </w:p>
    <w:p>
      <w:pPr>
        <w:spacing w:line="400" w:lineRule="exact"/>
        <w:ind w:firstLine="484" w:firstLineChars="202"/>
        <w:rPr>
          <w:rFonts w:hint="eastAsia" w:ascii="宋体" w:hAnsi="宋体" w:eastAsia="宋体" w:cs="宋体"/>
          <w:sz w:val="24"/>
        </w:rPr>
      </w:pPr>
    </w:p>
    <w:p>
      <w:pPr>
        <w:adjustRightInd w:val="0"/>
        <w:snapToGrid w:val="0"/>
        <w:spacing w:line="520" w:lineRule="atLeast"/>
        <w:ind w:firstLine="480" w:firstLineChars="20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（盖单位章）</w:t>
      </w:r>
    </w:p>
    <w:p>
      <w:pPr>
        <w:wordWrap w:val="0"/>
        <w:adjustRightInd w:val="0"/>
        <w:snapToGrid w:val="0"/>
        <w:spacing w:line="520" w:lineRule="atLeast"/>
        <w:ind w:right="105" w:firstLine="480" w:firstLineChars="20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法定代表人或其委托代理人：</w:t>
      </w:r>
      <w:r>
        <w:rPr>
          <w:rFonts w:hint="eastAsia" w:ascii="宋体" w:hAnsi="宋体" w:eastAsia="宋体" w:cs="宋体"/>
          <w:color w:val="000000"/>
          <w:sz w:val="24"/>
          <w:szCs w:val="24"/>
          <w:u w:val="single"/>
        </w:rPr>
        <w:t xml:space="preserve">       （签字）</w:t>
      </w:r>
    </w:p>
    <w:p>
      <w:pPr>
        <w:spacing w:line="400" w:lineRule="exact"/>
        <w:ind w:firstLine="4449" w:firstLineChars="1854"/>
        <w:rPr>
          <w:rFonts w:hint="eastAsia" w:ascii="宋体" w:hAnsi="宋体" w:eastAsia="宋体" w:cs="宋体"/>
          <w:sz w:val="24"/>
        </w:rPr>
      </w:pPr>
      <w:r>
        <w:rPr>
          <w:rFonts w:hint="eastAsia" w:ascii="宋体" w:hAnsi="宋体" w:eastAsia="宋体" w:cs="宋体"/>
          <w:color w:val="000000"/>
          <w:sz w:val="24"/>
          <w:szCs w:val="24"/>
        </w:rPr>
        <w:t>日期：</w:t>
      </w:r>
    </w:p>
    <w:p>
      <w:pPr>
        <w:rPr>
          <w:rFonts w:hint="eastAsia" w:ascii="宋体" w:hAnsi="宋体" w:eastAsia="宋体" w:cs="宋体"/>
          <w:color w:val="000000"/>
          <w:szCs w:val="21"/>
        </w:rPr>
      </w:pPr>
      <w:r>
        <w:rPr>
          <w:rFonts w:hint="eastAsia" w:ascii="宋体" w:hAnsi="宋体" w:eastAsia="宋体" w:cs="宋体"/>
          <w:color w:val="000000"/>
        </w:rPr>
        <w:br w:type="page"/>
      </w:r>
    </w:p>
    <w:p>
      <w:pPr>
        <w:pStyle w:val="16"/>
        <w:jc w:val="center"/>
        <w:rPr>
          <w:rFonts w:hint="eastAsia" w:ascii="宋体" w:hAnsi="宋体" w:eastAsia="宋体" w:cs="宋体"/>
          <w:color w:val="000000"/>
        </w:rPr>
      </w:pPr>
      <w:bookmarkStart w:id="193" w:name="_Toc55238688"/>
      <w:r>
        <w:rPr>
          <w:rFonts w:hint="eastAsia" w:ascii="宋体" w:hAnsi="宋体" w:eastAsia="宋体" w:cs="宋体"/>
          <w:color w:val="000000"/>
          <w:lang w:val="en-US" w:eastAsia="zh-CN"/>
        </w:rPr>
        <w:t>四</w:t>
      </w:r>
      <w:r>
        <w:rPr>
          <w:rFonts w:hint="eastAsia" w:ascii="宋体" w:hAnsi="宋体" w:eastAsia="宋体" w:cs="宋体"/>
          <w:color w:val="000000"/>
        </w:rPr>
        <w:t>、诚信承诺函</w:t>
      </w:r>
      <w:bookmarkEnd w:id="193"/>
    </w:p>
    <w:p>
      <w:pPr>
        <w:adjustRightInd w:val="0"/>
        <w:snapToGrid w:val="0"/>
        <w:spacing w:line="52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致</w:t>
      </w:r>
      <w:r>
        <w:rPr>
          <w:rFonts w:hint="eastAsia" w:ascii="宋体" w:hAnsi="宋体" w:eastAsia="宋体" w:cs="宋体"/>
          <w:sz w:val="24"/>
          <w:szCs w:val="24"/>
          <w:lang w:eastAsia="zh-CN"/>
        </w:rPr>
        <w:t>深圳交易集团有限公司龙岗分公司</w:t>
      </w:r>
      <w:r>
        <w:rPr>
          <w:rFonts w:hint="eastAsia" w:ascii="宋体" w:hAnsi="宋体" w:eastAsia="宋体" w:cs="宋体"/>
          <w:color w:val="000000"/>
          <w:sz w:val="24"/>
          <w:szCs w:val="24"/>
        </w:rPr>
        <w:t>：</w:t>
      </w:r>
    </w:p>
    <w:p>
      <w:pPr>
        <w:adjustRightInd w:val="0"/>
        <w:snapToGrid w:val="0"/>
        <w:spacing w:line="52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我方报名参加贵公司组织的</w:t>
      </w:r>
      <w:r>
        <w:rPr>
          <w:rFonts w:hint="eastAsia" w:ascii="宋体" w:hAnsi="宋体" w:eastAsia="宋体" w:cs="宋体"/>
          <w:color w:val="333333"/>
          <w:sz w:val="24"/>
          <w:szCs w:val="24"/>
          <w:u w:val="single"/>
          <w:shd w:val="clear" w:color="auto" w:fill="FFFFFF"/>
          <w:lang w:eastAsia="zh-CN"/>
        </w:rPr>
        <w:t>深圳市龙岗区平湖街道凤凰工业园城市更新项目</w:t>
      </w:r>
      <w:r>
        <w:rPr>
          <w:rFonts w:hint="eastAsia" w:ascii="宋体" w:hAnsi="宋体" w:eastAsia="宋体" w:cs="宋体"/>
          <w:color w:val="000000"/>
          <w:sz w:val="24"/>
          <w:szCs w:val="24"/>
        </w:rPr>
        <w:t>公共资源交易，郑重承诺如下：</w:t>
      </w:r>
    </w:p>
    <w:p>
      <w:pPr>
        <w:adjustRightInd w:val="0"/>
        <w:snapToGrid w:val="0"/>
        <w:spacing w:line="52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一、我方承诺按</w:t>
      </w:r>
      <w:r>
        <w:rPr>
          <w:rFonts w:hint="eastAsia" w:ascii="宋体" w:hAnsi="宋体" w:cs="宋体"/>
          <w:color w:val="000000"/>
          <w:sz w:val="24"/>
          <w:szCs w:val="24"/>
          <w:lang w:eastAsia="zh-CN"/>
        </w:rPr>
        <w:t>招标文件</w:t>
      </w:r>
      <w:r>
        <w:rPr>
          <w:rFonts w:hint="eastAsia" w:ascii="宋体" w:hAnsi="宋体" w:eastAsia="宋体" w:cs="宋体"/>
          <w:color w:val="000000"/>
          <w:sz w:val="24"/>
          <w:szCs w:val="24"/>
        </w:rPr>
        <w:t>等相关文件要求所提交的投标文件全部真实有效、无弄虚作假行为，并愿意接受社会公众监督，承担由提交资料不实造成的不良后果。</w:t>
      </w:r>
    </w:p>
    <w:p>
      <w:pPr>
        <w:adjustRightInd w:val="0"/>
        <w:snapToGrid w:val="0"/>
        <w:spacing w:line="52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二、我方清楚贵公司对交易双方因投标及订立或履行合同所发生的任何争议均不承担任何民事责任。</w:t>
      </w:r>
    </w:p>
    <w:p>
      <w:pPr>
        <w:adjustRightInd w:val="0"/>
        <w:snapToGrid w:val="0"/>
        <w:spacing w:line="520" w:lineRule="atLeas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三、我方承诺如发生以下情况，对取消中标资格以及</w:t>
      </w:r>
      <w:r>
        <w:rPr>
          <w:rFonts w:hint="eastAsia" w:ascii="宋体" w:hAnsi="宋体" w:eastAsia="宋体" w:cs="宋体"/>
          <w:color w:val="000000"/>
          <w:sz w:val="24"/>
          <w:szCs w:val="24"/>
          <w:lang w:eastAsia="zh-CN"/>
        </w:rPr>
        <w:t>交易保证金</w:t>
      </w:r>
      <w:r>
        <w:rPr>
          <w:rFonts w:hint="eastAsia" w:ascii="宋体" w:hAnsi="宋体" w:eastAsia="宋体" w:cs="宋体"/>
          <w:color w:val="000000"/>
          <w:sz w:val="24"/>
          <w:szCs w:val="24"/>
        </w:rPr>
        <w:t>不予退回无异议。</w:t>
      </w:r>
    </w:p>
    <w:p>
      <w:pPr>
        <w:adjustRightInd w:val="0"/>
        <w:snapToGrid w:val="0"/>
        <w:spacing w:line="520" w:lineRule="atLeast"/>
        <w:ind w:firstLine="480" w:firstLineChars="200"/>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szCs w:val="24"/>
        </w:rPr>
        <w:t>投标人在递交投标文件</w:t>
      </w:r>
      <w:r>
        <w:rPr>
          <w:rFonts w:hint="eastAsia" w:ascii="宋体" w:hAnsi="宋体" w:eastAsia="宋体" w:cs="宋体"/>
          <w:sz w:val="24"/>
        </w:rPr>
        <w:t>后</w:t>
      </w:r>
      <w:r>
        <w:rPr>
          <w:rFonts w:hint="eastAsia" w:ascii="宋体" w:hAnsi="宋体" w:eastAsia="宋体" w:cs="宋体"/>
          <w:sz w:val="24"/>
          <w:szCs w:val="24"/>
        </w:rPr>
        <w:t>撤销响应</w:t>
      </w:r>
      <w:r>
        <w:rPr>
          <w:rFonts w:hint="eastAsia" w:ascii="宋体" w:hAnsi="宋体" w:eastAsia="宋体" w:cs="宋体"/>
          <w:sz w:val="24"/>
        </w:rPr>
        <w:t>；</w:t>
      </w:r>
    </w:p>
    <w:p>
      <w:pPr>
        <w:adjustRightInd w:val="0"/>
        <w:snapToGrid w:val="0"/>
        <w:spacing w:line="520" w:lineRule="atLeast"/>
        <w:ind w:firstLine="480" w:firstLineChars="200"/>
        <w:rPr>
          <w:rFonts w:hint="eastAsia" w:ascii="宋体" w:hAnsi="宋体" w:eastAsia="宋体" w:cs="宋体"/>
          <w:sz w:val="24"/>
          <w:szCs w:val="24"/>
        </w:rPr>
      </w:pPr>
      <w:r>
        <w:rPr>
          <w:rFonts w:hint="eastAsia" w:ascii="宋体" w:hAnsi="宋体" w:eastAsia="宋体" w:cs="宋体"/>
          <w:sz w:val="24"/>
        </w:rPr>
        <w:t>（2）</w:t>
      </w:r>
      <w:r>
        <w:rPr>
          <w:rFonts w:hint="eastAsia" w:ascii="宋体" w:hAnsi="宋体" w:eastAsia="宋体" w:cs="宋体"/>
          <w:sz w:val="24"/>
          <w:szCs w:val="24"/>
        </w:rPr>
        <w:t>投标人串通投标或者以其他弄虚作假方式投标；</w:t>
      </w:r>
    </w:p>
    <w:p>
      <w:pPr>
        <w:adjustRightInd w:val="0"/>
        <w:snapToGrid w:val="0"/>
        <w:spacing w:line="52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（3）投标人提供虚假情况提起异议或投诉；</w:t>
      </w:r>
    </w:p>
    <w:p>
      <w:pPr>
        <w:adjustRightInd w:val="0"/>
        <w:snapToGrid w:val="0"/>
        <w:spacing w:line="52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（4）投标人在收到中标通知书后，未按</w:t>
      </w:r>
      <w:r>
        <w:rPr>
          <w:rFonts w:hint="eastAsia" w:ascii="宋体" w:hAnsi="宋体" w:cs="宋体"/>
          <w:sz w:val="24"/>
          <w:szCs w:val="24"/>
          <w:lang w:eastAsia="zh-CN"/>
        </w:rPr>
        <w:t>招标文件</w:t>
      </w:r>
      <w:r>
        <w:rPr>
          <w:rFonts w:hint="eastAsia" w:ascii="宋体" w:hAnsi="宋体" w:eastAsia="宋体" w:cs="宋体"/>
          <w:sz w:val="24"/>
          <w:szCs w:val="24"/>
        </w:rPr>
        <w:t>规定提交履约保证金；</w:t>
      </w:r>
    </w:p>
    <w:p>
      <w:pPr>
        <w:adjustRightInd w:val="0"/>
        <w:snapToGrid w:val="0"/>
        <w:spacing w:line="52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（5）投标人没有与股份合作公司在规定时间内签订合同的；</w:t>
      </w:r>
    </w:p>
    <w:p>
      <w:pPr>
        <w:adjustRightInd w:val="0"/>
        <w:snapToGrid w:val="0"/>
        <w:spacing w:line="520" w:lineRule="atLeast"/>
        <w:ind w:firstLine="480" w:firstLineChars="200"/>
        <w:rPr>
          <w:rFonts w:hint="eastAsia" w:ascii="宋体" w:hAnsi="宋体" w:eastAsia="宋体" w:cs="宋体"/>
          <w:sz w:val="24"/>
        </w:rPr>
      </w:pPr>
      <w:r>
        <w:rPr>
          <w:rFonts w:hint="eastAsia" w:ascii="宋体" w:hAnsi="宋体" w:eastAsia="宋体" w:cs="宋体"/>
          <w:sz w:val="24"/>
          <w:szCs w:val="24"/>
        </w:rPr>
        <w:t>（6）投标人</w:t>
      </w:r>
      <w:r>
        <w:rPr>
          <w:rFonts w:hint="eastAsia" w:ascii="宋体" w:hAnsi="宋体" w:eastAsia="宋体" w:cs="宋体"/>
          <w:sz w:val="24"/>
        </w:rPr>
        <w:t>成功交易并签订合同后，无正当理由拒不履行合同条款的</w:t>
      </w:r>
      <w:r>
        <w:rPr>
          <w:rFonts w:hint="eastAsia" w:ascii="宋体" w:hAnsi="宋体" w:eastAsia="宋体" w:cs="宋体"/>
          <w:sz w:val="24"/>
          <w:szCs w:val="24"/>
        </w:rPr>
        <w:t>；</w:t>
      </w:r>
      <w:r>
        <w:rPr>
          <w:rFonts w:hint="eastAsia" w:ascii="宋体" w:hAnsi="宋体" w:eastAsia="宋体" w:cs="宋体"/>
          <w:sz w:val="24"/>
        </w:rPr>
        <w:t xml:space="preserve"> </w:t>
      </w:r>
    </w:p>
    <w:p>
      <w:pPr>
        <w:adjustRightInd w:val="0"/>
        <w:snapToGrid w:val="0"/>
        <w:spacing w:line="520" w:lineRule="atLeast"/>
        <w:ind w:firstLine="480" w:firstLineChars="200"/>
        <w:rPr>
          <w:rFonts w:hint="eastAsia" w:ascii="宋体" w:hAnsi="宋体" w:eastAsia="宋体" w:cs="宋体"/>
          <w:sz w:val="24"/>
          <w:szCs w:val="24"/>
        </w:rPr>
      </w:pPr>
      <w:r>
        <w:rPr>
          <w:rFonts w:hint="eastAsia" w:ascii="宋体" w:hAnsi="宋体" w:eastAsia="宋体" w:cs="宋体"/>
          <w:sz w:val="24"/>
          <w:szCs w:val="24"/>
        </w:rPr>
        <w:t>（7）法律法规规定的其他情况。</w:t>
      </w:r>
    </w:p>
    <w:p>
      <w:pPr>
        <w:widowControl/>
        <w:wordWrap w:val="0"/>
        <w:spacing w:line="516" w:lineRule="atLeast"/>
        <w:jc w:val="right"/>
        <w:rPr>
          <w:rFonts w:hint="eastAsia" w:ascii="宋体" w:hAnsi="宋体" w:eastAsia="宋体" w:cs="宋体"/>
          <w:sz w:val="24"/>
          <w:szCs w:val="24"/>
        </w:rPr>
      </w:pPr>
    </w:p>
    <w:p>
      <w:pPr>
        <w:widowControl/>
        <w:spacing w:line="516" w:lineRule="atLeast"/>
        <w:jc w:val="right"/>
        <w:rPr>
          <w:rFonts w:hint="eastAsia" w:ascii="宋体" w:hAnsi="宋体" w:eastAsia="宋体" w:cs="宋体"/>
          <w:sz w:val="24"/>
          <w:szCs w:val="24"/>
        </w:rPr>
      </w:pPr>
    </w:p>
    <w:p>
      <w:pPr>
        <w:adjustRightInd w:val="0"/>
        <w:snapToGrid w:val="0"/>
        <w:spacing w:line="520" w:lineRule="atLeast"/>
        <w:ind w:firstLine="480" w:firstLineChars="20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投标人：</w:t>
      </w:r>
      <w:r>
        <w:rPr>
          <w:rFonts w:hint="eastAsia" w:ascii="宋体" w:hAnsi="宋体" w:eastAsia="宋体" w:cs="宋体"/>
          <w:color w:val="000000"/>
          <w:sz w:val="24"/>
          <w:szCs w:val="24"/>
          <w:u w:val="single"/>
        </w:rPr>
        <w:t xml:space="preserve">                      （盖单位章）</w:t>
      </w:r>
    </w:p>
    <w:p>
      <w:pPr>
        <w:wordWrap w:val="0"/>
        <w:adjustRightInd w:val="0"/>
        <w:snapToGrid w:val="0"/>
        <w:spacing w:line="520" w:lineRule="atLeast"/>
        <w:ind w:right="105" w:firstLine="480" w:firstLineChars="20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  法定代表人或其委托代理人：</w:t>
      </w:r>
      <w:r>
        <w:rPr>
          <w:rFonts w:hint="eastAsia" w:ascii="宋体" w:hAnsi="宋体" w:eastAsia="宋体" w:cs="宋体"/>
          <w:color w:val="000000"/>
          <w:sz w:val="24"/>
          <w:szCs w:val="24"/>
          <w:u w:val="single"/>
        </w:rPr>
        <w:t xml:space="preserve">       （签字）</w:t>
      </w:r>
    </w:p>
    <w:p>
      <w:pPr>
        <w:spacing w:line="400" w:lineRule="exact"/>
        <w:ind w:firstLine="4449" w:firstLineChars="1854"/>
        <w:rPr>
          <w:rFonts w:hint="eastAsia" w:ascii="宋体" w:hAnsi="宋体" w:eastAsia="宋体" w:cs="宋体"/>
          <w:sz w:val="24"/>
        </w:rPr>
      </w:pPr>
      <w:r>
        <w:rPr>
          <w:rFonts w:hint="eastAsia" w:ascii="宋体" w:hAnsi="宋体" w:eastAsia="宋体" w:cs="宋体"/>
          <w:color w:val="000000"/>
          <w:sz w:val="24"/>
          <w:szCs w:val="24"/>
        </w:rPr>
        <w:t>日期：</w:t>
      </w:r>
    </w:p>
    <w:p>
      <w:pPr>
        <w:adjustRightInd w:val="0"/>
        <w:snapToGrid w:val="0"/>
        <w:spacing w:line="520" w:lineRule="atLeast"/>
        <w:ind w:right="420" w:firstLine="3960" w:firstLineChars="1650"/>
        <w:rPr>
          <w:rFonts w:hint="eastAsia" w:ascii="宋体" w:hAnsi="宋体" w:eastAsia="宋体" w:cs="宋体"/>
          <w:color w:val="000000"/>
          <w:sz w:val="24"/>
          <w:szCs w:val="24"/>
        </w:rPr>
      </w:pPr>
      <w:r>
        <w:rPr>
          <w:rFonts w:hint="eastAsia" w:ascii="宋体" w:hAnsi="宋体" w:eastAsia="宋体" w:cs="宋体"/>
          <w:color w:val="000000"/>
          <w:sz w:val="24"/>
          <w:szCs w:val="24"/>
          <w:u w:val="single"/>
        </w:rPr>
        <w:t xml:space="preserve">  </w:t>
      </w:r>
    </w:p>
    <w:p>
      <w:pPr>
        <w:ind w:firstLine="560"/>
        <w:jc w:val="center"/>
        <w:rPr>
          <w:rFonts w:hint="eastAsia" w:ascii="宋体" w:hAnsi="宋体" w:eastAsia="宋体" w:cs="宋体"/>
          <w:sz w:val="32"/>
          <w:szCs w:val="28"/>
        </w:rPr>
      </w:pPr>
    </w:p>
    <w:p>
      <w:pPr>
        <w:rPr>
          <w:rFonts w:hint="eastAsia" w:ascii="宋体" w:hAnsi="宋体" w:eastAsia="宋体" w:cs="宋体"/>
          <w:color w:val="000000"/>
        </w:rPr>
      </w:pPr>
      <w:r>
        <w:rPr>
          <w:rFonts w:hint="eastAsia" w:ascii="宋体" w:hAnsi="宋体" w:eastAsia="宋体" w:cs="宋体"/>
          <w:color w:val="000000"/>
        </w:rPr>
        <w:br w:type="page"/>
      </w:r>
    </w:p>
    <w:p>
      <w:pPr>
        <w:pStyle w:val="16"/>
        <w:jc w:val="center"/>
        <w:rPr>
          <w:rFonts w:hint="eastAsia" w:ascii="宋体" w:hAnsi="宋体" w:eastAsia="宋体" w:cs="宋体"/>
          <w:color w:val="000000"/>
        </w:rPr>
      </w:pPr>
      <w:bookmarkStart w:id="194" w:name="_Toc402795955"/>
      <w:bookmarkStart w:id="195" w:name="_Toc152042580"/>
      <w:bookmarkStart w:id="196" w:name="_Toc246996359"/>
      <w:bookmarkStart w:id="197" w:name="_Toc144974860"/>
      <w:bookmarkStart w:id="198" w:name="_Toc346226151"/>
      <w:bookmarkStart w:id="199" w:name="_Toc246997102"/>
      <w:bookmarkStart w:id="200" w:name="_Toc247085877"/>
      <w:bookmarkStart w:id="201" w:name="_Toc413519592"/>
      <w:bookmarkStart w:id="202" w:name="_Toc152045791"/>
      <w:bookmarkStart w:id="203" w:name="_Toc55238689"/>
      <w:r>
        <w:rPr>
          <w:rFonts w:hint="eastAsia" w:ascii="宋体" w:hAnsi="宋体" w:eastAsia="宋体" w:cs="宋体"/>
          <w:color w:val="000000"/>
          <w:lang w:val="en-US" w:eastAsia="zh-CN"/>
        </w:rPr>
        <w:t>五</w:t>
      </w:r>
      <w:r>
        <w:rPr>
          <w:rFonts w:hint="eastAsia" w:ascii="宋体" w:hAnsi="宋体" w:eastAsia="宋体" w:cs="宋体"/>
          <w:color w:val="000000"/>
        </w:rPr>
        <w:t>、法定代表人证明</w:t>
      </w:r>
      <w:bookmarkEnd w:id="194"/>
      <w:bookmarkEnd w:id="195"/>
      <w:bookmarkEnd w:id="196"/>
      <w:bookmarkEnd w:id="197"/>
      <w:bookmarkEnd w:id="198"/>
      <w:bookmarkEnd w:id="199"/>
      <w:bookmarkEnd w:id="200"/>
      <w:bookmarkEnd w:id="201"/>
      <w:bookmarkEnd w:id="202"/>
      <w:r>
        <w:rPr>
          <w:rFonts w:hint="eastAsia" w:ascii="宋体" w:hAnsi="宋体" w:eastAsia="宋体" w:cs="宋体"/>
          <w:color w:val="000000"/>
        </w:rPr>
        <w:t>书</w:t>
      </w:r>
      <w:bookmarkEnd w:id="203"/>
    </w:p>
    <w:p>
      <w:pPr>
        <w:spacing w:line="440" w:lineRule="exact"/>
        <w:rPr>
          <w:rFonts w:hint="eastAsia" w:ascii="宋体" w:hAnsi="宋体" w:eastAsia="宋体" w:cs="宋体"/>
          <w:color w:val="000000"/>
          <w:sz w:val="20"/>
          <w:szCs w:val="20"/>
        </w:rPr>
      </w:pPr>
    </w:p>
    <w:p>
      <w:pPr>
        <w:spacing w:line="440" w:lineRule="exact"/>
        <w:rPr>
          <w:rFonts w:hint="eastAsia" w:ascii="宋体" w:hAnsi="宋体" w:eastAsia="宋体" w:cs="宋体"/>
          <w:color w:val="000000"/>
          <w:szCs w:val="21"/>
        </w:rPr>
      </w:pPr>
    </w:p>
    <w:p>
      <w:pPr>
        <w:spacing w:line="560" w:lineRule="exact"/>
        <w:ind w:firstLine="1440" w:firstLineChars="600"/>
        <w:rPr>
          <w:rFonts w:hint="eastAsia" w:ascii="宋体" w:hAnsi="宋体" w:eastAsia="宋体" w:cs="宋体"/>
          <w:bCs/>
          <w:sz w:val="24"/>
          <w:szCs w:val="24"/>
        </w:rPr>
      </w:pPr>
      <w:r>
        <w:rPr>
          <w:rFonts w:hint="eastAsia" w:ascii="宋体" w:hAnsi="宋体" w:eastAsia="宋体" w:cs="宋体"/>
          <w:bCs/>
          <w:sz w:val="24"/>
          <w:szCs w:val="24"/>
        </w:rPr>
        <w:t>同志，现任我单位         职务，为法定代表人，特此证明。</w:t>
      </w:r>
    </w:p>
    <w:p>
      <w:pPr>
        <w:spacing w:line="560" w:lineRule="exact"/>
        <w:rPr>
          <w:rFonts w:hint="eastAsia" w:ascii="宋体" w:hAnsi="宋体" w:eastAsia="宋体" w:cs="宋体"/>
          <w:bCs/>
          <w:sz w:val="24"/>
        </w:rPr>
      </w:pPr>
      <w:r>
        <w:rPr>
          <w:rFonts w:hint="eastAsia" w:ascii="宋体" w:hAnsi="宋体" w:eastAsia="宋体" w:cs="宋体"/>
          <w:bCs/>
          <w:sz w:val="24"/>
          <w:szCs w:val="24"/>
        </w:rPr>
        <w:t>有效日期：</w:t>
      </w:r>
      <w:r>
        <w:rPr>
          <w:rFonts w:hint="eastAsia" w:ascii="宋体" w:hAnsi="宋体" w:eastAsia="宋体" w:cs="宋体"/>
          <w:bCs/>
          <w:sz w:val="24"/>
        </w:rPr>
        <w:t xml:space="preserve">         </w:t>
      </w:r>
    </w:p>
    <w:p>
      <w:pPr>
        <w:spacing w:after="120" w:line="440" w:lineRule="exact"/>
        <w:ind w:firstLine="4080" w:firstLineChars="1700"/>
        <w:rPr>
          <w:rFonts w:hint="eastAsia" w:ascii="宋体" w:hAnsi="宋体" w:eastAsia="宋体" w:cs="宋体"/>
          <w:sz w:val="24"/>
        </w:rPr>
      </w:pPr>
    </w:p>
    <w:p>
      <w:pPr>
        <w:spacing w:line="440" w:lineRule="exact"/>
        <w:rPr>
          <w:rFonts w:hint="eastAsia" w:ascii="宋体" w:hAnsi="宋体" w:eastAsia="宋体" w:cs="宋体"/>
          <w:color w:val="000000"/>
          <w:sz w:val="24"/>
          <w:szCs w:val="24"/>
        </w:rPr>
      </w:pPr>
    </w:p>
    <w:p>
      <w:pPr>
        <w:spacing w:line="440" w:lineRule="exact"/>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投标人：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（盖单位章）</w:t>
      </w:r>
    </w:p>
    <w:p>
      <w:pPr>
        <w:spacing w:line="440" w:lineRule="exact"/>
        <w:rPr>
          <w:rFonts w:hint="eastAsia" w:ascii="宋体" w:hAnsi="宋体" w:eastAsia="宋体" w:cs="宋体"/>
          <w:b/>
          <w:color w:val="000000"/>
          <w:sz w:val="24"/>
          <w:szCs w:val="24"/>
        </w:rPr>
      </w:pPr>
      <w:r>
        <w:rPr>
          <w:rFonts w:hint="eastAsia" w:ascii="宋体" w:hAnsi="宋体" w:eastAsia="宋体" w:cs="宋体"/>
          <w:color w:val="000000"/>
          <w:sz w:val="24"/>
          <w:szCs w:val="24"/>
        </w:rPr>
        <w:t xml:space="preserve">                                  </w:t>
      </w:r>
      <w:r>
        <w:rPr>
          <w:rFonts w:hint="eastAsia" w:ascii="宋体" w:hAnsi="宋体" w:eastAsia="宋体" w:cs="宋体"/>
          <w:color w:val="000000"/>
          <w:sz w:val="24"/>
          <w:szCs w:val="24"/>
          <w:u w:val="single"/>
        </w:rPr>
        <w:t>日期：</w:t>
      </w:r>
    </w:p>
    <w:p>
      <w:pPr>
        <w:spacing w:line="44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附：法定代表人身份证复印件</w:t>
      </w:r>
      <w:r>
        <w:rPr>
          <w:rFonts w:hint="eastAsia" w:ascii="宋体" w:hAnsi="宋体" w:eastAsia="宋体" w:cs="宋体"/>
          <w:b/>
          <w:color w:val="000000"/>
          <w:sz w:val="24"/>
        </w:rPr>
        <w:t>（加盖公章）</w:t>
      </w:r>
    </w:p>
    <w:p>
      <w:pPr>
        <w:rPr>
          <w:rFonts w:hint="eastAsia" w:ascii="宋体" w:hAnsi="宋体" w:eastAsia="宋体" w:cs="宋体"/>
          <w:color w:val="000000"/>
        </w:rPr>
      </w:pPr>
      <w:r>
        <w:rPr>
          <w:rFonts w:hint="eastAsia" w:ascii="宋体" w:hAnsi="宋体" w:eastAsia="宋体" w:cs="宋体"/>
          <w:color w:val="000000"/>
        </w:rPr>
        <w:br w:type="page"/>
      </w:r>
    </w:p>
    <w:p>
      <w:pPr>
        <w:pStyle w:val="16"/>
        <w:jc w:val="center"/>
        <w:rPr>
          <w:rFonts w:hint="eastAsia" w:ascii="宋体" w:hAnsi="宋体" w:eastAsia="宋体" w:cs="宋体"/>
          <w:color w:val="000000"/>
          <w:sz w:val="24"/>
          <w:szCs w:val="24"/>
        </w:rPr>
      </w:pPr>
      <w:bookmarkStart w:id="204" w:name="_Toc246997103"/>
      <w:bookmarkStart w:id="205" w:name="_Toc55238690"/>
      <w:bookmarkStart w:id="206" w:name="_Toc402795956"/>
      <w:bookmarkStart w:id="207" w:name="_Toc152042581"/>
      <w:bookmarkStart w:id="208" w:name="_Toc152045792"/>
      <w:bookmarkStart w:id="209" w:name="_Toc247085878"/>
      <w:bookmarkStart w:id="210" w:name="_Toc144974861"/>
      <w:bookmarkStart w:id="211" w:name="_Toc346226152"/>
      <w:bookmarkStart w:id="212" w:name="_Toc413519593"/>
      <w:bookmarkStart w:id="213" w:name="_Toc246996360"/>
      <w:r>
        <w:rPr>
          <w:rFonts w:hint="eastAsia" w:ascii="宋体" w:hAnsi="宋体" w:eastAsia="宋体" w:cs="宋体"/>
          <w:color w:val="000000"/>
          <w:sz w:val="24"/>
          <w:szCs w:val="24"/>
        </w:rPr>
        <w:t>法定代表人授权委托书</w:t>
      </w:r>
      <w:bookmarkEnd w:id="204"/>
      <w:bookmarkEnd w:id="205"/>
      <w:bookmarkEnd w:id="206"/>
      <w:bookmarkEnd w:id="207"/>
      <w:bookmarkEnd w:id="208"/>
      <w:bookmarkEnd w:id="209"/>
      <w:bookmarkEnd w:id="210"/>
      <w:bookmarkEnd w:id="211"/>
      <w:bookmarkEnd w:id="212"/>
      <w:bookmarkEnd w:id="213"/>
    </w:p>
    <w:p>
      <w:pPr>
        <w:spacing w:line="440" w:lineRule="exact"/>
        <w:rPr>
          <w:rFonts w:hint="eastAsia" w:ascii="宋体" w:hAnsi="宋体" w:eastAsia="宋体" w:cs="宋体"/>
          <w:color w:val="000000"/>
          <w:sz w:val="24"/>
          <w:szCs w:val="24"/>
        </w:rPr>
      </w:pPr>
    </w:p>
    <w:p>
      <w:pPr>
        <w:topLinePunct/>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（投标人名称）的法定代表人，现委托</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（项目名称）投标文件、开展项目谈判、签订合同和处理有关事宜，其法律后果由我方承担。</w:t>
      </w:r>
    </w:p>
    <w:p>
      <w:pPr>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委托期限：从</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日起至</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年</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月</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日止。</w:t>
      </w:r>
    </w:p>
    <w:p>
      <w:pPr>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spacing w:line="440" w:lineRule="exact"/>
        <w:rPr>
          <w:rFonts w:hint="eastAsia" w:ascii="宋体" w:hAnsi="宋体" w:eastAsia="宋体" w:cs="宋体"/>
          <w:color w:val="000000"/>
          <w:sz w:val="24"/>
          <w:szCs w:val="24"/>
        </w:rPr>
      </w:pPr>
    </w:p>
    <w:p>
      <w:pPr>
        <w:adjustRightInd w:val="0"/>
        <w:snapToGrid w:val="0"/>
        <w:spacing w:line="520" w:lineRule="atLeast"/>
        <w:ind w:firstLine="480" w:firstLineChars="20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（盖单位章）</w:t>
      </w:r>
    </w:p>
    <w:p>
      <w:pPr>
        <w:wordWrap w:val="0"/>
        <w:adjustRightInd w:val="0"/>
        <w:snapToGrid w:val="0"/>
        <w:spacing w:line="520" w:lineRule="atLeast"/>
        <w:ind w:right="105" w:firstLine="4569" w:firstLineChars="1904"/>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（签字）</w:t>
      </w:r>
    </w:p>
    <w:p>
      <w:pPr>
        <w:spacing w:line="440" w:lineRule="exact"/>
        <w:ind w:firstLine="4560" w:firstLineChars="1900"/>
        <w:rPr>
          <w:rFonts w:hint="eastAsia" w:ascii="宋体" w:hAnsi="宋体" w:eastAsia="宋体" w:cs="宋体"/>
          <w:color w:val="000000"/>
          <w:sz w:val="24"/>
          <w:szCs w:val="24"/>
        </w:rPr>
      </w:pPr>
      <w:r>
        <w:rPr>
          <w:rFonts w:hint="eastAsia" w:ascii="宋体" w:hAnsi="宋体" w:eastAsia="宋体" w:cs="宋体"/>
          <w:color w:val="000000"/>
          <w:sz w:val="24"/>
          <w:szCs w:val="24"/>
        </w:rPr>
        <w:t>日期：</w:t>
      </w:r>
    </w:p>
    <w:p>
      <w:pPr>
        <w:spacing w:line="440" w:lineRule="exact"/>
        <w:rPr>
          <w:rFonts w:hint="eastAsia" w:ascii="宋体" w:hAnsi="宋体" w:eastAsia="宋体" w:cs="宋体"/>
          <w:b/>
          <w:color w:val="000000"/>
          <w:sz w:val="24"/>
          <w:szCs w:val="24"/>
        </w:rPr>
      </w:pPr>
    </w:p>
    <w:p>
      <w:pPr>
        <w:spacing w:line="440" w:lineRule="exact"/>
        <w:rPr>
          <w:rFonts w:hint="eastAsia" w:ascii="宋体" w:hAnsi="宋体" w:eastAsia="宋体" w:cs="宋体"/>
          <w:b/>
          <w:color w:val="000000"/>
          <w:sz w:val="24"/>
          <w:szCs w:val="24"/>
        </w:rPr>
      </w:pPr>
      <w:r>
        <w:rPr>
          <w:rFonts w:hint="eastAsia" w:ascii="宋体" w:hAnsi="宋体" w:eastAsia="宋体" w:cs="宋体"/>
          <w:b/>
          <w:color w:val="000000"/>
          <w:sz w:val="24"/>
          <w:szCs w:val="24"/>
        </w:rPr>
        <w:t>附：委托人身份证复印件</w:t>
      </w:r>
      <w:r>
        <w:rPr>
          <w:rFonts w:hint="eastAsia" w:ascii="宋体" w:hAnsi="宋体" w:eastAsia="宋体" w:cs="宋体"/>
          <w:color w:val="000000"/>
          <w:sz w:val="24"/>
        </w:rPr>
        <w:t>（加盖公章）</w:t>
      </w:r>
    </w:p>
    <w:p>
      <w:pPr>
        <w:rPr>
          <w:rFonts w:hint="eastAsia" w:ascii="宋体" w:hAnsi="宋体" w:eastAsia="宋体" w:cs="宋体"/>
          <w:color w:val="000000"/>
        </w:rPr>
      </w:pPr>
      <w:r>
        <w:rPr>
          <w:rFonts w:hint="eastAsia" w:ascii="宋体" w:hAnsi="宋体" w:eastAsia="宋体" w:cs="宋体"/>
          <w:color w:val="000000"/>
        </w:rPr>
        <w:br w:type="page"/>
      </w:r>
    </w:p>
    <w:p>
      <w:pPr>
        <w:pStyle w:val="16"/>
        <w:jc w:val="center"/>
        <w:rPr>
          <w:rFonts w:hint="eastAsia" w:ascii="宋体" w:hAnsi="宋体" w:eastAsia="宋体" w:cs="宋体"/>
          <w:color w:val="000000"/>
        </w:rPr>
      </w:pPr>
      <w:bookmarkStart w:id="214" w:name="_Toc55238691"/>
      <w:r>
        <w:rPr>
          <w:rFonts w:hint="eastAsia" w:ascii="宋体" w:hAnsi="宋体" w:eastAsia="宋体" w:cs="宋体"/>
          <w:color w:val="000000"/>
          <w:lang w:val="en-US" w:eastAsia="zh-CN"/>
        </w:rPr>
        <w:t>六</w:t>
      </w:r>
      <w:r>
        <w:rPr>
          <w:rFonts w:hint="eastAsia" w:ascii="宋体" w:hAnsi="宋体" w:eastAsia="宋体" w:cs="宋体"/>
          <w:color w:val="000000"/>
        </w:rPr>
        <w:t>、营业执照（加盖公章）</w:t>
      </w:r>
      <w:bookmarkEnd w:id="214"/>
    </w:p>
    <w:p>
      <w:pPr>
        <w:rPr>
          <w:rFonts w:hint="eastAsia" w:ascii="宋体" w:hAnsi="宋体" w:eastAsia="宋体" w:cs="宋体"/>
        </w:rPr>
      </w:pPr>
    </w:p>
    <w:p>
      <w:pPr>
        <w:rPr>
          <w:rFonts w:hint="eastAsia" w:ascii="宋体" w:hAnsi="宋体" w:eastAsia="宋体" w:cs="宋体"/>
          <w:color w:val="000000"/>
          <w:sz w:val="24"/>
          <w:szCs w:val="24"/>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z w:val="24"/>
        </w:rPr>
        <w:t>注：如营业执照未体现注册资本，还须提供</w:t>
      </w:r>
      <w:r>
        <w:rPr>
          <w:rFonts w:hint="eastAsia" w:ascii="宋体" w:hAnsi="宋体" w:eastAsia="宋体" w:cs="宋体"/>
          <w:color w:val="000000"/>
          <w:sz w:val="24"/>
          <w:szCs w:val="24"/>
        </w:rPr>
        <w:t>工商部门网站关于商事主体注册资本信息的查询截图。</w:t>
      </w:r>
    </w:p>
    <w:p>
      <w:pPr>
        <w:rPr>
          <w:rFonts w:hint="eastAsia" w:ascii="宋体" w:hAnsi="宋体" w:eastAsia="宋体" w:cs="宋体"/>
          <w:color w:val="000000"/>
          <w:szCs w:val="21"/>
        </w:rPr>
      </w:pPr>
    </w:p>
    <w:p>
      <w:pPr>
        <w:pStyle w:val="16"/>
        <w:jc w:val="center"/>
        <w:rPr>
          <w:rFonts w:hint="eastAsia" w:ascii="宋体" w:hAnsi="宋体" w:eastAsia="宋体" w:cs="宋体"/>
          <w:color w:val="000000"/>
          <w:lang w:val="en-US" w:eastAsia="zh-CN"/>
        </w:rPr>
      </w:pPr>
      <w:bookmarkStart w:id="215" w:name="_Toc55238692"/>
      <w:r>
        <w:rPr>
          <w:rFonts w:hint="eastAsia" w:ascii="宋体" w:hAnsi="宋体" w:eastAsia="宋体" w:cs="宋体"/>
          <w:color w:val="000000"/>
          <w:lang w:val="en-US" w:eastAsia="zh-CN"/>
        </w:rPr>
        <w:t>七</w:t>
      </w:r>
      <w:r>
        <w:rPr>
          <w:rFonts w:hint="eastAsia" w:ascii="宋体" w:hAnsi="宋体" w:eastAsia="宋体" w:cs="宋体"/>
          <w:color w:val="000000"/>
        </w:rPr>
        <w:t>、</w:t>
      </w:r>
      <w:r>
        <w:rPr>
          <w:rFonts w:hint="eastAsia" w:ascii="宋体" w:hAnsi="宋体" w:eastAsia="宋体" w:cs="宋体"/>
          <w:color w:val="000000"/>
          <w:lang w:val="en-US" w:eastAsia="zh-CN"/>
        </w:rPr>
        <w:t>2021年</w:t>
      </w:r>
      <w:r>
        <w:rPr>
          <w:rFonts w:hint="eastAsia" w:ascii="宋体" w:hAnsi="宋体" w:eastAsia="宋体" w:cs="宋体"/>
          <w:color w:val="000000"/>
        </w:rPr>
        <w:t>年度财务审计报告</w:t>
      </w:r>
      <w:bookmarkEnd w:id="215"/>
      <w:r>
        <w:rPr>
          <w:rFonts w:hint="eastAsia" w:ascii="宋体" w:hAnsi="宋体" w:eastAsia="宋体" w:cs="宋体"/>
          <w:color w:val="000000"/>
          <w:lang w:eastAsia="zh-CN"/>
        </w:rPr>
        <w:t>或</w:t>
      </w:r>
      <w:r>
        <w:rPr>
          <w:rFonts w:hint="eastAsia" w:ascii="宋体" w:hAnsi="宋体" w:eastAsia="宋体" w:cs="宋体"/>
          <w:color w:val="000000"/>
          <w:lang w:val="en-US" w:eastAsia="zh-CN"/>
        </w:rPr>
        <w:t>2022年上半年度审计报告</w:t>
      </w:r>
    </w:p>
    <w:p>
      <w:pPr>
        <w:rPr>
          <w:rFonts w:hint="eastAsia" w:ascii="宋体" w:hAnsi="宋体" w:eastAsia="宋体" w:cs="宋体"/>
        </w:rPr>
      </w:pPr>
    </w:p>
    <w:p>
      <w:pPr>
        <w:ind w:firstLine="648" w:firstLineChars="270"/>
        <w:rPr>
          <w:rFonts w:hint="eastAsia" w:ascii="宋体" w:hAnsi="宋体" w:eastAsia="宋体" w:cs="宋体"/>
        </w:rPr>
      </w:pPr>
      <w:r>
        <w:rPr>
          <w:rFonts w:hint="eastAsia" w:ascii="宋体" w:hAnsi="宋体" w:eastAsia="宋体" w:cs="宋体"/>
          <w:sz w:val="24"/>
        </w:rPr>
        <w:t>提供第三方独立审计机构出具的关于投标人的</w:t>
      </w:r>
      <w:r>
        <w:rPr>
          <w:rFonts w:hint="eastAsia" w:ascii="宋体" w:hAnsi="宋体" w:eastAsia="宋体" w:cs="宋体"/>
          <w:sz w:val="24"/>
          <w:lang w:val="en-US" w:eastAsia="zh-CN"/>
        </w:rPr>
        <w:t>2021年</w:t>
      </w:r>
      <w:r>
        <w:rPr>
          <w:rFonts w:hint="eastAsia" w:ascii="宋体" w:hAnsi="宋体" w:eastAsia="宋体" w:cs="宋体"/>
          <w:sz w:val="24"/>
        </w:rPr>
        <w:t>年度审计报告</w:t>
      </w:r>
      <w:r>
        <w:rPr>
          <w:rFonts w:hint="eastAsia" w:ascii="宋体" w:hAnsi="宋体" w:eastAsia="宋体" w:cs="宋体"/>
          <w:sz w:val="24"/>
          <w:lang w:eastAsia="zh-CN"/>
        </w:rPr>
        <w:t>或</w:t>
      </w:r>
      <w:r>
        <w:rPr>
          <w:rFonts w:hint="eastAsia" w:ascii="宋体" w:hAnsi="宋体" w:eastAsia="宋体" w:cs="宋体"/>
          <w:sz w:val="24"/>
          <w:lang w:val="en-US" w:eastAsia="zh-CN"/>
        </w:rPr>
        <w:t>2022年上半年度审计报告</w:t>
      </w:r>
    </w:p>
    <w:p>
      <w:pPr>
        <w:spacing w:line="540" w:lineRule="exact"/>
        <w:jc w:val="both"/>
        <w:rPr>
          <w:rFonts w:hint="eastAsia" w:ascii="宋体" w:hAnsi="宋体" w:eastAsia="宋体" w:cs="宋体"/>
          <w:color w:val="FF0000"/>
          <w:sz w:val="28"/>
          <w:szCs w:val="20"/>
        </w:rPr>
      </w:pPr>
      <w:r>
        <w:rPr>
          <w:rFonts w:hint="eastAsia" w:ascii="宋体" w:hAnsi="宋体" w:eastAsia="宋体" w:cs="宋体"/>
          <w:color w:val="FF0000"/>
          <w:sz w:val="28"/>
          <w:szCs w:val="20"/>
        </w:rPr>
        <w:br w:type="page"/>
      </w:r>
    </w:p>
    <w:p>
      <w:pPr>
        <w:widowControl/>
        <w:ind w:firstLine="420" w:firstLineChars="200"/>
        <w:jc w:val="left"/>
        <w:rPr>
          <w:rFonts w:hint="eastAsia" w:ascii="宋体" w:hAnsi="宋体" w:eastAsia="宋体" w:cs="宋体"/>
          <w:color w:val="000000"/>
        </w:rPr>
      </w:pPr>
    </w:p>
    <w:p>
      <w:pPr>
        <w:pStyle w:val="16"/>
        <w:jc w:val="center"/>
        <w:rPr>
          <w:rFonts w:hint="eastAsia" w:ascii="宋体" w:hAnsi="宋体" w:eastAsia="宋体" w:cs="宋体"/>
          <w:color w:val="000000"/>
        </w:rPr>
      </w:pPr>
      <w:bookmarkStart w:id="216" w:name="_Toc55238694"/>
      <w:r>
        <w:rPr>
          <w:rFonts w:hint="eastAsia" w:ascii="宋体" w:hAnsi="宋体" w:eastAsia="宋体" w:cs="宋体"/>
          <w:color w:val="000000"/>
          <w:lang w:val="en-US" w:eastAsia="zh-CN"/>
        </w:rPr>
        <w:t>八</w:t>
      </w:r>
      <w:r>
        <w:rPr>
          <w:rFonts w:hint="eastAsia" w:ascii="宋体" w:hAnsi="宋体" w:eastAsia="宋体" w:cs="宋体"/>
          <w:color w:val="000000"/>
        </w:rPr>
        <w:t>、合作开发经验证明材料（加盖公章）</w:t>
      </w:r>
      <w:bookmarkEnd w:id="216"/>
    </w:p>
    <w:p>
      <w:pPr>
        <w:rPr>
          <w:rFonts w:hint="eastAsia" w:ascii="宋体" w:hAnsi="宋体" w:eastAsia="宋体" w:cs="宋体"/>
        </w:rPr>
      </w:pPr>
    </w:p>
    <w:p>
      <w:pPr>
        <w:pStyle w:val="2"/>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提供竞投人或其控股母公司（包括其控股母公司直接持股50%以上的子公司）已完成项目的《深圳市建设工程规划验收合格证》，合作开发的项目，验收合格证上须明确载明竞投人或其控股母公司（包括其控股母公司直接持股50%以上的子公司）的名称。</w:t>
      </w:r>
    </w:p>
    <w:p>
      <w:pPr>
        <w:pStyle w:val="2"/>
        <w:jc w:val="left"/>
        <w:rPr>
          <w:rFonts w:hint="eastAsia" w:ascii="宋体" w:hAnsi="宋体" w:eastAsia="宋体" w:cs="宋体"/>
          <w:color w:val="000000"/>
          <w:sz w:val="24"/>
          <w:szCs w:val="24"/>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kern w:val="2"/>
          <w:sz w:val="24"/>
          <w:szCs w:val="24"/>
          <w:lang w:val="en-US" w:eastAsia="zh-CN" w:bidi="ar-SA"/>
        </w:rPr>
        <w:br w:type="page"/>
      </w:r>
      <w:bookmarkStart w:id="217" w:name="_Toc413519587"/>
    </w:p>
    <w:p>
      <w:pPr>
        <w:adjustRightInd w:val="0"/>
        <w:snapToGrid w:val="0"/>
        <w:spacing w:line="480" w:lineRule="auto"/>
        <w:jc w:val="center"/>
        <w:rPr>
          <w:rFonts w:hint="default" w:ascii="宋体" w:hAnsi="宋体" w:eastAsia="宋体" w:cs="宋体"/>
          <w:b w:val="0"/>
          <w:bCs w:val="0"/>
          <w:color w:val="000000"/>
          <w:kern w:val="2"/>
          <w:sz w:val="28"/>
          <w:szCs w:val="20"/>
          <w:lang w:val="en-US" w:eastAsia="zh-CN" w:bidi="ar-SA"/>
        </w:rPr>
      </w:pPr>
      <w:r>
        <w:rPr>
          <w:rFonts w:hint="eastAsia" w:ascii="宋体" w:hAnsi="宋体" w:eastAsia="宋体" w:cs="宋体"/>
          <w:b w:val="0"/>
          <w:bCs w:val="0"/>
          <w:color w:val="000000"/>
          <w:kern w:val="2"/>
          <w:sz w:val="28"/>
          <w:szCs w:val="20"/>
          <w:lang w:val="en-US" w:eastAsia="zh-CN" w:bidi="ar-SA"/>
        </w:rPr>
        <w:t>九、</w:t>
      </w:r>
      <w:bookmarkEnd w:id="217"/>
      <w:r>
        <w:rPr>
          <w:rFonts w:hint="eastAsia" w:ascii="宋体" w:hAnsi="宋体" w:eastAsia="宋体" w:cs="宋体"/>
          <w:b w:val="0"/>
          <w:bCs w:val="0"/>
          <w:color w:val="000000"/>
          <w:kern w:val="2"/>
          <w:sz w:val="28"/>
          <w:szCs w:val="20"/>
          <w:lang w:val="en-US" w:eastAsia="zh-CN" w:bidi="ar-SA"/>
        </w:rPr>
        <w:t>拆迁补偿进度承诺函（加盖公章)</w:t>
      </w: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jc w:val="both"/>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格式及内容由投标人自拟</w:t>
      </w: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adjustRightInd w:val="0"/>
        <w:snapToGrid w:val="0"/>
        <w:spacing w:line="480" w:lineRule="auto"/>
        <w:ind w:firstLine="3826" w:firstLineChars="1822"/>
        <w:jc w:val="left"/>
        <w:rPr>
          <w:rFonts w:hint="eastAsia" w:ascii="宋体" w:hAnsi="宋体" w:eastAsia="宋体" w:cs="宋体"/>
          <w:color w:val="000000"/>
          <w:szCs w:val="21"/>
        </w:rPr>
      </w:pPr>
    </w:p>
    <w:p>
      <w:pPr>
        <w:pStyle w:val="16"/>
        <w:jc w:val="center"/>
        <w:rPr>
          <w:rFonts w:hint="eastAsia" w:ascii="宋体" w:hAnsi="宋体" w:eastAsia="宋体" w:cs="宋体"/>
          <w:color w:val="000000"/>
        </w:rPr>
      </w:pPr>
      <w:bookmarkStart w:id="218" w:name="_Toc55238698"/>
    </w:p>
    <w:p>
      <w:pPr>
        <w:pStyle w:val="16"/>
        <w:jc w:val="center"/>
        <w:rPr>
          <w:rFonts w:hint="eastAsia" w:ascii="宋体" w:hAnsi="宋体" w:eastAsia="宋体" w:cs="宋体"/>
          <w:color w:val="000000"/>
        </w:rPr>
      </w:pPr>
    </w:p>
    <w:p>
      <w:pPr>
        <w:pStyle w:val="16"/>
        <w:jc w:val="center"/>
        <w:rPr>
          <w:rFonts w:hint="eastAsia" w:ascii="宋体" w:hAnsi="宋体" w:eastAsia="宋体" w:cs="宋体"/>
          <w:color w:val="000000"/>
        </w:rPr>
      </w:pPr>
    </w:p>
    <w:p>
      <w:pPr>
        <w:pStyle w:val="16"/>
        <w:jc w:val="center"/>
        <w:rPr>
          <w:rFonts w:hint="eastAsia" w:ascii="宋体" w:hAnsi="宋体" w:eastAsia="宋体" w:cs="宋体"/>
          <w:color w:val="000000"/>
        </w:rPr>
      </w:pPr>
    </w:p>
    <w:p>
      <w:pPr>
        <w:pStyle w:val="16"/>
        <w:jc w:val="center"/>
        <w:rPr>
          <w:rFonts w:hint="eastAsia" w:ascii="宋体" w:hAnsi="宋体" w:eastAsia="宋体" w:cs="宋体"/>
          <w:color w:val="000000"/>
        </w:rPr>
      </w:pPr>
    </w:p>
    <w:p>
      <w:pPr>
        <w:pStyle w:val="16"/>
        <w:jc w:val="center"/>
        <w:rPr>
          <w:rFonts w:hint="eastAsia" w:ascii="宋体" w:hAnsi="宋体" w:eastAsia="宋体" w:cs="宋体"/>
          <w:color w:val="000000"/>
        </w:rPr>
      </w:pPr>
    </w:p>
    <w:p>
      <w:pPr>
        <w:pStyle w:val="16"/>
        <w:jc w:val="center"/>
        <w:rPr>
          <w:rFonts w:hint="eastAsia" w:ascii="宋体" w:hAnsi="宋体" w:eastAsia="宋体" w:cs="宋体"/>
          <w:color w:val="000000"/>
        </w:rPr>
      </w:pPr>
    </w:p>
    <w:p>
      <w:pPr>
        <w:pStyle w:val="16"/>
        <w:jc w:val="both"/>
        <w:rPr>
          <w:rFonts w:hint="eastAsia" w:ascii="宋体" w:hAnsi="宋体" w:eastAsia="宋体" w:cs="宋体"/>
          <w:color w:val="000000"/>
        </w:rPr>
      </w:pPr>
    </w:p>
    <w:p>
      <w:pPr>
        <w:pStyle w:val="16"/>
        <w:jc w:val="center"/>
        <w:rPr>
          <w:rFonts w:hint="eastAsia" w:ascii="宋体" w:hAnsi="宋体" w:eastAsia="宋体" w:cs="宋体"/>
          <w:color w:val="000000"/>
        </w:rPr>
      </w:pPr>
    </w:p>
    <w:p>
      <w:pPr>
        <w:adjustRightInd w:val="0"/>
        <w:snapToGrid w:val="0"/>
        <w:spacing w:line="480" w:lineRule="auto"/>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（盖单位章）</w:t>
      </w:r>
    </w:p>
    <w:p>
      <w:pPr>
        <w:adjustRightInd w:val="0"/>
        <w:snapToGrid w:val="0"/>
        <w:spacing w:line="480" w:lineRule="auto"/>
        <w:ind w:right="105" w:firstLine="0" w:firstLineChars="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（签字）</w:t>
      </w:r>
    </w:p>
    <w:p>
      <w:pPr>
        <w:widowControl/>
        <w:ind w:firstLine="0" w:firstLineChars="0"/>
        <w:jc w:val="center"/>
        <w:rPr>
          <w:rFonts w:hint="eastAsia" w:ascii="宋体" w:hAnsi="宋体" w:eastAsia="宋体" w:cs="宋体"/>
        </w:rPr>
      </w:pPr>
      <w:r>
        <w:rPr>
          <w:rFonts w:hint="eastAsia" w:ascii="宋体" w:hAnsi="宋体" w:eastAsia="宋体" w:cs="宋体"/>
          <w:color w:val="000000"/>
          <w:sz w:val="24"/>
          <w:szCs w:val="24"/>
        </w:rPr>
        <w:t xml:space="preserve">日期：  </w:t>
      </w:r>
      <w:r>
        <w:rPr>
          <w:rFonts w:hint="eastAsia" w:ascii="宋体" w:hAnsi="宋体" w:eastAsia="宋体" w:cs="宋体"/>
          <w:color w:val="000000"/>
          <w:sz w:val="24"/>
          <w:szCs w:val="24"/>
          <w:u w:val="single"/>
        </w:rPr>
        <w:t xml:space="preserve">                          </w:t>
      </w:r>
    </w:p>
    <w:p>
      <w:pPr>
        <w:pStyle w:val="16"/>
        <w:jc w:val="center"/>
        <w:rPr>
          <w:rFonts w:hint="eastAsia" w:ascii="宋体" w:hAnsi="宋体" w:eastAsia="宋体" w:cs="宋体"/>
          <w:color w:val="000000"/>
        </w:rPr>
      </w:pPr>
    </w:p>
    <w:p>
      <w:pPr>
        <w:pStyle w:val="16"/>
        <w:jc w:val="center"/>
        <w:rPr>
          <w:rFonts w:hint="default" w:ascii="宋体" w:hAnsi="宋体" w:eastAsia="宋体" w:cs="宋体"/>
          <w:color w:val="000000"/>
          <w:lang w:val="en-US" w:eastAsia="zh-CN"/>
        </w:rPr>
      </w:pPr>
      <w:r>
        <w:rPr>
          <w:rFonts w:hint="eastAsia" w:ascii="宋体" w:hAnsi="宋体" w:eastAsia="宋体" w:cs="宋体"/>
          <w:color w:val="000000"/>
        </w:rPr>
        <w:t>十、</w:t>
      </w:r>
      <w:bookmarkEnd w:id="218"/>
      <w:r>
        <w:rPr>
          <w:rFonts w:hint="eastAsia" w:ascii="宋体" w:hAnsi="宋体" w:eastAsia="宋体" w:cs="宋体"/>
          <w:color w:val="000000"/>
          <w:lang w:val="en-US" w:eastAsia="zh-CN"/>
        </w:rPr>
        <w:t>回迁物业交房进度承诺函（加盖公章）</w:t>
      </w: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格式及内容由投标人自拟。</w:t>
      </w:r>
    </w:p>
    <w:p>
      <w:pPr>
        <w:ind w:firstLine="484" w:firstLineChars="202"/>
        <w:rPr>
          <w:rFonts w:hint="eastAsia" w:ascii="宋体" w:hAnsi="宋体" w:eastAsia="宋体" w:cs="宋体"/>
          <w:sz w:val="24"/>
        </w:rPr>
      </w:pPr>
    </w:p>
    <w:p/>
    <w:p>
      <w:pPr>
        <w:bidi w:val="0"/>
        <w:rPr>
          <w:rFonts w:ascii="Times New Roman" w:hAnsi="Times New Roman" w:eastAsia="宋体" w:cs="Times New Roman"/>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adjustRightInd w:val="0"/>
        <w:snapToGrid w:val="0"/>
        <w:spacing w:line="480" w:lineRule="auto"/>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（盖单位章）</w:t>
      </w:r>
    </w:p>
    <w:p>
      <w:pPr>
        <w:adjustRightInd w:val="0"/>
        <w:snapToGrid w:val="0"/>
        <w:spacing w:line="480" w:lineRule="auto"/>
        <w:ind w:right="105" w:firstLine="0" w:firstLineChars="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（签字）</w:t>
      </w:r>
    </w:p>
    <w:p>
      <w:pPr>
        <w:widowControl/>
        <w:ind w:firstLine="0" w:firstLineChars="0"/>
        <w:jc w:val="center"/>
        <w:rPr>
          <w:rFonts w:hint="eastAsia" w:ascii="宋体" w:hAnsi="宋体" w:eastAsia="宋体" w:cs="宋体"/>
        </w:rPr>
      </w:pPr>
      <w:r>
        <w:rPr>
          <w:rFonts w:hint="eastAsia" w:ascii="宋体" w:hAnsi="宋体" w:eastAsia="宋体" w:cs="宋体"/>
          <w:color w:val="000000"/>
          <w:sz w:val="24"/>
          <w:szCs w:val="24"/>
        </w:rPr>
        <w:t xml:space="preserve">日期：  </w:t>
      </w:r>
      <w:r>
        <w:rPr>
          <w:rFonts w:hint="eastAsia" w:ascii="宋体" w:hAnsi="宋体" w:eastAsia="宋体" w:cs="宋体"/>
          <w:color w:val="000000"/>
          <w:sz w:val="24"/>
          <w:szCs w:val="24"/>
          <w:u w:val="single"/>
        </w:rPr>
        <w:t xml:space="preserve">                          </w:t>
      </w:r>
    </w:p>
    <w:p>
      <w:pPr>
        <w:pStyle w:val="16"/>
        <w:jc w:val="center"/>
        <w:rPr>
          <w:rFonts w:hint="eastAsia" w:ascii="宋体" w:hAnsi="宋体" w:eastAsia="宋体" w:cs="宋体"/>
          <w:color w:val="000000"/>
        </w:rPr>
      </w:pPr>
    </w:p>
    <w:p>
      <w:pPr>
        <w:bidi w:val="0"/>
        <w:jc w:val="center"/>
        <w:rPr>
          <w:lang w:val="en-US" w:eastAsia="zh-CN"/>
        </w:rPr>
      </w:pPr>
      <w:r>
        <w:rPr>
          <w:rFonts w:hint="eastAsia" w:ascii="宋体" w:hAnsi="宋体" w:eastAsia="宋体" w:cs="宋体"/>
          <w:b w:val="0"/>
          <w:bCs w:val="0"/>
          <w:color w:val="000000"/>
          <w:kern w:val="2"/>
          <w:sz w:val="28"/>
          <w:szCs w:val="20"/>
          <w:lang w:val="en-US" w:eastAsia="zh-CN" w:bidi="ar-SA"/>
        </w:rPr>
        <w:t>十一、规划概念设计方案</w:t>
      </w: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rPr>
      </w:pPr>
    </w:p>
    <w:p>
      <w:pPr>
        <w:adjustRightInd w:val="0"/>
        <w:snapToGrid w:val="0"/>
        <w:spacing w:line="480" w:lineRule="auto"/>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投标人：</w:t>
      </w:r>
      <w:r>
        <w:rPr>
          <w:rFonts w:hint="eastAsia" w:ascii="宋体" w:hAnsi="宋体" w:eastAsia="宋体" w:cs="宋体"/>
          <w:color w:val="000000"/>
          <w:sz w:val="24"/>
          <w:szCs w:val="24"/>
          <w:u w:val="single"/>
        </w:rPr>
        <w:t xml:space="preserve">                      （盖单位章）</w:t>
      </w:r>
    </w:p>
    <w:p>
      <w:pPr>
        <w:adjustRightInd w:val="0"/>
        <w:snapToGrid w:val="0"/>
        <w:spacing w:line="480" w:lineRule="auto"/>
        <w:ind w:right="105" w:firstLine="0" w:firstLineChars="0"/>
        <w:jc w:val="right"/>
        <w:rPr>
          <w:rFonts w:hint="eastAsia" w:ascii="宋体" w:hAnsi="宋体" w:eastAsia="宋体" w:cs="宋体"/>
          <w:color w:val="000000"/>
          <w:sz w:val="24"/>
          <w:szCs w:val="24"/>
          <w:u w:val="single"/>
        </w:rPr>
      </w:pPr>
      <w:r>
        <w:rPr>
          <w:rFonts w:hint="eastAsia" w:ascii="宋体" w:hAnsi="宋体" w:eastAsia="宋体" w:cs="宋体"/>
          <w:color w:val="000000"/>
          <w:sz w:val="24"/>
          <w:szCs w:val="24"/>
        </w:rPr>
        <w:t>法定代表人或其委托代理人：</w:t>
      </w:r>
      <w:r>
        <w:rPr>
          <w:rFonts w:hint="eastAsia" w:ascii="宋体" w:hAnsi="宋体" w:eastAsia="宋体" w:cs="宋体"/>
          <w:color w:val="000000"/>
          <w:sz w:val="24"/>
          <w:szCs w:val="24"/>
          <w:u w:val="single"/>
        </w:rPr>
        <w:t xml:space="preserve">          （签字）</w:t>
      </w:r>
    </w:p>
    <w:p>
      <w:pPr>
        <w:widowControl/>
        <w:ind w:firstLine="0" w:firstLineChars="0"/>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 xml:space="preserve">日期：  </w:t>
      </w:r>
      <w:r>
        <w:rPr>
          <w:rFonts w:hint="eastAsia" w:ascii="宋体" w:hAnsi="宋体" w:eastAsia="宋体" w:cs="宋体"/>
          <w:color w:val="000000"/>
          <w:sz w:val="24"/>
          <w:szCs w:val="24"/>
          <w:u w:val="single"/>
        </w:rPr>
        <w:t xml:space="preserve">                        </w:t>
      </w:r>
    </w:p>
    <w:p>
      <w:pPr>
        <w:pStyle w:val="2"/>
        <w:rPr>
          <w:rFonts w:hint="eastAsia" w:eastAsia="宋体"/>
          <w:lang w:val="en-US" w:eastAsia="zh-CN"/>
        </w:rPr>
        <w:sectPr>
          <w:pgSz w:w="11906" w:h="16838"/>
          <w:pgMar w:top="1440" w:right="1800" w:bottom="1440" w:left="1800" w:header="851" w:footer="992" w:gutter="0"/>
          <w:cols w:space="720" w:num="1"/>
          <w:docGrid w:type="lines" w:linePitch="312" w:charSpace="0"/>
        </w:sectPr>
      </w:pPr>
    </w:p>
    <w:p>
      <w:pPr>
        <w:numPr>
          <w:ilvl w:val="0"/>
          <w:numId w:val="3"/>
        </w:numPr>
        <w:bidi w:val="0"/>
        <w:jc w:val="center"/>
        <w:rPr>
          <w:rFonts w:hint="default" w:ascii="宋体" w:hAnsi="宋体" w:eastAsia="宋体" w:cs="宋体"/>
          <w:b w:val="0"/>
          <w:bCs w:val="0"/>
          <w:color w:val="000000"/>
          <w:kern w:val="2"/>
          <w:sz w:val="28"/>
          <w:szCs w:val="20"/>
          <w:lang w:val="en-US" w:eastAsia="zh-CN" w:bidi="ar-SA"/>
        </w:rPr>
      </w:pPr>
      <w:r>
        <w:rPr>
          <w:rFonts w:hint="eastAsia" w:ascii="宋体" w:hAnsi="宋体" w:cs="宋体"/>
          <w:b w:val="0"/>
          <w:bCs w:val="0"/>
          <w:color w:val="000000"/>
          <w:kern w:val="2"/>
          <w:sz w:val="28"/>
          <w:szCs w:val="20"/>
          <w:lang w:val="en-US" w:eastAsia="zh-CN" w:bidi="ar-SA"/>
        </w:rPr>
        <w:t>投标人认为需要提交的其他文件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6</w:t>
    </w:r>
    <w:r>
      <w:rPr>
        <w:lang w:val="zh-CN"/>
      </w:rPr>
      <w:fldChar w:fldCharType="end"/>
    </w:r>
  </w:p>
  <w:p>
    <w:pPr>
      <w:pStyle w:val="9"/>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72883"/>
    <w:multiLevelType w:val="singleLevel"/>
    <w:tmpl w:val="1D172883"/>
    <w:lvl w:ilvl="0" w:tentative="0">
      <w:start w:val="8"/>
      <w:numFmt w:val="chineseCounting"/>
      <w:suff w:val="nothing"/>
      <w:lvlText w:val="%1、"/>
      <w:lvlJc w:val="left"/>
      <w:rPr>
        <w:rFonts w:hint="eastAsia"/>
      </w:rPr>
    </w:lvl>
  </w:abstractNum>
  <w:abstractNum w:abstractNumId="1">
    <w:nsid w:val="2C5A0F5B"/>
    <w:multiLevelType w:val="singleLevel"/>
    <w:tmpl w:val="2C5A0F5B"/>
    <w:lvl w:ilvl="0" w:tentative="0">
      <w:start w:val="1"/>
      <w:numFmt w:val="chineseCounting"/>
      <w:suff w:val="nothing"/>
      <w:lvlText w:val="%1、"/>
      <w:lvlJc w:val="left"/>
      <w:rPr>
        <w:rFonts w:hint="eastAsia"/>
      </w:rPr>
    </w:lvl>
  </w:abstractNum>
  <w:abstractNum w:abstractNumId="2">
    <w:nsid w:val="4B549CE3"/>
    <w:multiLevelType w:val="singleLevel"/>
    <w:tmpl w:val="4B549CE3"/>
    <w:lvl w:ilvl="0" w:tentative="0">
      <w:start w:val="12"/>
      <w:numFmt w:val="chineseCounting"/>
      <w:suff w:val="space"/>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yN2FkMTJiMDkzZGM2OGMwMDkwOTJiNzFkY2YzNmQifQ=="/>
  </w:docVars>
  <w:rsids>
    <w:rsidRoot w:val="2F183879"/>
    <w:rsid w:val="0018099E"/>
    <w:rsid w:val="00F44F67"/>
    <w:rsid w:val="017D31AE"/>
    <w:rsid w:val="067526A6"/>
    <w:rsid w:val="06982838"/>
    <w:rsid w:val="091C32AD"/>
    <w:rsid w:val="0AB45767"/>
    <w:rsid w:val="0C741652"/>
    <w:rsid w:val="0E016F15"/>
    <w:rsid w:val="0FB26EF2"/>
    <w:rsid w:val="102B64CB"/>
    <w:rsid w:val="1594066F"/>
    <w:rsid w:val="16810F25"/>
    <w:rsid w:val="179D1A5D"/>
    <w:rsid w:val="1A974C57"/>
    <w:rsid w:val="1BCD2618"/>
    <w:rsid w:val="1FA75E3B"/>
    <w:rsid w:val="21893052"/>
    <w:rsid w:val="23F92711"/>
    <w:rsid w:val="2A790107"/>
    <w:rsid w:val="2D2D2039"/>
    <w:rsid w:val="2D377E06"/>
    <w:rsid w:val="2E513149"/>
    <w:rsid w:val="2F183879"/>
    <w:rsid w:val="30F85AFE"/>
    <w:rsid w:val="365437D6"/>
    <w:rsid w:val="3A791A5E"/>
    <w:rsid w:val="3A970136"/>
    <w:rsid w:val="3C37397E"/>
    <w:rsid w:val="3E1F291C"/>
    <w:rsid w:val="3F466574"/>
    <w:rsid w:val="4629258A"/>
    <w:rsid w:val="57702903"/>
    <w:rsid w:val="599D1745"/>
    <w:rsid w:val="5ABC3575"/>
    <w:rsid w:val="5B5518EB"/>
    <w:rsid w:val="5F571ABE"/>
    <w:rsid w:val="617C1C00"/>
    <w:rsid w:val="65C92FEA"/>
    <w:rsid w:val="670C5884"/>
    <w:rsid w:val="6B0074AE"/>
    <w:rsid w:val="6BF24FC5"/>
    <w:rsid w:val="6BF344BD"/>
    <w:rsid w:val="6C121531"/>
    <w:rsid w:val="6FE0165C"/>
    <w:rsid w:val="72583365"/>
    <w:rsid w:val="74116287"/>
    <w:rsid w:val="74F86FE9"/>
    <w:rsid w:val="7671125F"/>
    <w:rsid w:val="7987469D"/>
    <w:rsid w:val="7C481A6B"/>
    <w:rsid w:val="7FE90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text"/>
    <w:basedOn w:val="1"/>
    <w:qFormat/>
    <w:uiPriority w:val="0"/>
    <w:pPr>
      <w:jc w:val="left"/>
    </w:pPr>
  </w:style>
  <w:style w:type="paragraph" w:styleId="7">
    <w:name w:val="Body Text 3"/>
    <w:basedOn w:val="1"/>
    <w:qFormat/>
    <w:uiPriority w:val="99"/>
    <w:rPr>
      <w:rFonts w:ascii="宋体"/>
      <w:sz w:val="24"/>
      <w:szCs w:val="20"/>
    </w:rPr>
  </w:style>
  <w:style w:type="paragraph" w:styleId="8">
    <w:name w:val="toc 3"/>
    <w:basedOn w:val="1"/>
    <w:next w:val="1"/>
    <w:qFormat/>
    <w:uiPriority w:val="39"/>
    <w:pPr>
      <w:ind w:left="840" w:leftChars="400"/>
    </w:p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toc 1"/>
    <w:basedOn w:val="1"/>
    <w:next w:val="1"/>
    <w:qFormat/>
    <w:uiPriority w:val="39"/>
    <w:pPr>
      <w:spacing w:line="440" w:lineRule="exact"/>
      <w:jc w:val="center"/>
    </w:pPr>
  </w:style>
  <w:style w:type="paragraph" w:styleId="11">
    <w:name w:val="toc 2"/>
    <w:basedOn w:val="1"/>
    <w:next w:val="1"/>
    <w:qFormat/>
    <w:uiPriority w:val="39"/>
    <w:pPr>
      <w:ind w:left="420" w:left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qFormat/>
    <w:uiPriority w:val="99"/>
    <w:rPr>
      <w:color w:val="0000FF"/>
      <w:u w:val="single"/>
    </w:rPr>
  </w:style>
  <w:style w:type="paragraph" w:customStyle="1" w:styleId="1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7">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18">
    <w:name w:val="列出段落1"/>
    <w:basedOn w:val="1"/>
    <w:qFormat/>
    <w:uiPriority w:val="34"/>
    <w:pPr>
      <w:ind w:firstLine="420" w:firstLineChars="200"/>
    </w:pPr>
    <w:rPr>
      <w:szCs w:val="20"/>
    </w:rPr>
  </w:style>
  <w:style w:type="paragraph" w:customStyle="1" w:styleId="19">
    <w:name w:val="正文 A"/>
    <w:qFormat/>
    <w:uiPriority w:val="99"/>
    <w:pPr>
      <w:widowControl w:val="0"/>
      <w:jc w:val="both"/>
    </w:pPr>
    <w:rPr>
      <w:rFonts w:ascii="Arial Unicode MS" w:hAnsi="Arial Unicode MS" w:eastAsia="宋体" w:cs="Arial Unicode MS"/>
      <w:color w:val="000000"/>
      <w:kern w:val="2"/>
      <w:sz w:val="21"/>
      <w:szCs w:val="21"/>
      <w:lang w:val="en-US" w:eastAsia="zh-CN" w:bidi="ar-SA"/>
    </w:rPr>
  </w:style>
  <w:style w:type="paragraph" w:styleId="20">
    <w:name w:val="No Spacing"/>
    <w:qFormat/>
    <w:uiPriority w:val="1"/>
    <w:rPr>
      <w:rFonts w:ascii="Calibri" w:hAnsi="Calibri" w:eastAsia="宋体" w:cs="Times New Roman"/>
      <w:sz w:val="22"/>
      <w:szCs w:val="22"/>
      <w:lang w:val="en-US" w:eastAsia="zh-CN" w:bidi="ar-SA"/>
    </w:rPr>
  </w:style>
  <w:style w:type="paragraph" w:customStyle="1" w:styleId="21">
    <w:name w:val="Heading #1|1"/>
    <w:basedOn w:val="1"/>
    <w:qFormat/>
    <w:uiPriority w:val="0"/>
    <w:pPr>
      <w:spacing w:after="800"/>
      <w:ind w:firstLine="200"/>
      <w:jc w:val="left"/>
      <w:outlineLvl w:val="0"/>
    </w:pPr>
    <w:rPr>
      <w:rFonts w:ascii="宋体" w:hAnsi="宋体" w:eastAsia="宋体" w:cs="宋体"/>
      <w:color w:val="000000"/>
      <w:kern w:val="0"/>
      <w:sz w:val="50"/>
      <w:szCs w:val="50"/>
      <w:lang w:val="zh-TW" w:eastAsia="zh-TW" w:bidi="zh-TW"/>
    </w:rPr>
  </w:style>
  <w:style w:type="paragraph" w:customStyle="1" w:styleId="22">
    <w:name w:val="Body text|2"/>
    <w:basedOn w:val="1"/>
    <w:qFormat/>
    <w:uiPriority w:val="0"/>
    <w:pPr>
      <w:spacing w:line="620" w:lineRule="exact"/>
      <w:jc w:val="left"/>
    </w:pPr>
    <w:rPr>
      <w:rFonts w:ascii="宋体" w:hAnsi="宋体" w:eastAsia="宋体" w:cs="宋体"/>
      <w:color w:val="000000"/>
      <w:kern w:val="0"/>
      <w:sz w:val="34"/>
      <w:szCs w:val="34"/>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69</Pages>
  <Words>37085</Words>
  <Characters>40194</Characters>
  <Lines>0</Lines>
  <Paragraphs>0</Paragraphs>
  <TotalTime>0</TotalTime>
  <ScaleCrop>false</ScaleCrop>
  <LinksUpToDate>false</LinksUpToDate>
  <CharactersWithSpaces>41720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2022-09-21T02:29:00Z</dcterms:created>
  <dc:creator>Y</dc:creator>
  <cp:lastModifiedBy>Wenlion</cp:lastModifiedBy>
  <cp:lastPrinted>2022-09-21T05:04:00Z</cp:lastPrinted>
  <dcterms:modified xsi:type="dcterms:W3CDTF">2022-09-21T13:35:45Z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778C99DC2E7E4FFCB2EDB4C2DD89F301</vt:lpwstr>
  </property>
</Properties>
</file>